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001E3" w14:textId="77777777" w:rsidR="00F05BFD" w:rsidRPr="002E0DB1" w:rsidRDefault="00F05BFD" w:rsidP="00F05BFD">
      <w:pPr>
        <w:jc w:val="center"/>
        <w:rPr>
          <w:rFonts w:ascii="Tahoma" w:eastAsia="Tahoma" w:hAnsi="Tahoma" w:cs="Tahoma"/>
          <w:b/>
          <w:bCs/>
          <w:sz w:val="48"/>
          <w:szCs w:val="48"/>
        </w:rPr>
      </w:pPr>
      <w:r w:rsidRPr="002E0DB1">
        <w:rPr>
          <w:rFonts w:ascii="Tahoma" w:eastAsia="Tahoma" w:hAnsi="Tahoma" w:cs="Tahoma"/>
          <w:b/>
          <w:bCs/>
          <w:sz w:val="48"/>
          <w:szCs w:val="48"/>
        </w:rPr>
        <w:t>Zelený zákal: trpí jím až 80 milionů lidí. Polovina o onemocnění neví</w:t>
      </w:r>
    </w:p>
    <w:p w14:paraId="68250FEB" w14:textId="77777777" w:rsidR="00F05BFD" w:rsidRDefault="00F05BFD" w:rsidP="00F05BFD">
      <w:pPr>
        <w:jc w:val="both"/>
        <w:rPr>
          <w:rFonts w:ascii="Tahoma" w:eastAsia="Tahoma" w:hAnsi="Tahoma" w:cs="Tahoma"/>
          <w:b/>
          <w:bCs/>
          <w:sz w:val="21"/>
          <w:szCs w:val="21"/>
        </w:rPr>
      </w:pPr>
      <w:r>
        <w:rPr>
          <w:rFonts w:ascii="Tahoma" w:eastAsia="Tahoma" w:hAnsi="Tahoma" w:cs="Tahoma"/>
          <w:b/>
          <w:bCs/>
          <w:sz w:val="21"/>
          <w:szCs w:val="21"/>
        </w:rPr>
        <w:t>PRAHA, 18. ÚNORA 2026 – Glaukom neboli zelený zákal přichází nenápadně, bez bolesti. Pokud není rozpoznán včas, hrozí vážné poškození zraku, které může končit i slepotou. Na závažnost zákeřného onemocnění upozorňuje každoročně Světový týden glaukomu. Letos osvětová akce připadá na 8. až 14. března.</w:t>
      </w:r>
    </w:p>
    <w:p w14:paraId="70E09BE3" w14:textId="77777777" w:rsidR="00F05BFD" w:rsidRDefault="00F05BFD" w:rsidP="00F05BFD">
      <w:pPr>
        <w:jc w:val="both"/>
        <w:rPr>
          <w:rFonts w:ascii="Tahoma" w:eastAsia="Tahoma" w:hAnsi="Tahoma" w:cs="Tahoma"/>
          <w:sz w:val="21"/>
          <w:szCs w:val="21"/>
        </w:rPr>
      </w:pPr>
      <w:r>
        <w:rPr>
          <w:rFonts w:ascii="Tahoma" w:eastAsia="Tahoma" w:hAnsi="Tahoma" w:cs="Tahoma"/>
          <w:sz w:val="21"/>
          <w:szCs w:val="21"/>
        </w:rPr>
        <w:t xml:space="preserve">Celosvětově trpí zeleným zákalem přibližně 80 milionů lidí, v Česku jich je kolem čtyř set tisíc. Přezdívá se mu „tichý zabiják zraku“, protože nebolí. Když si člověk všimne, že s jeho zrakem něco není v pořádku, může být už pozdě. </w:t>
      </w:r>
      <w:r>
        <w:rPr>
          <w:rFonts w:ascii="Tahoma" w:eastAsia="Tahoma" w:hAnsi="Tahoma" w:cs="Tahoma"/>
          <w:color w:val="CC9900"/>
          <w:sz w:val="21"/>
          <w:szCs w:val="21"/>
        </w:rPr>
        <w:t>„Glaukom nejčastěji vzniká v souvislosti se zvýšeným nitroočním tlakem, který při dlouhodobém působení postupně poškozuje zrakový nerv. Rozvinout se však může i při normálním nitroočním tlaku a na jeho vzniku se mohou podílet například změny v prokrvení zrakového nervu. Zelený zákal se projevuje zhoršením periferního vidění, což pacient nemusí ze začátku vůbec poznat. Přibližně polovina pacientů o svém onemocnění neví, protože v počátečních stádiích často nebolí a neprojevuje se výraznými příznaky. Proto jsou po čtyřicítce, kdy se zpravidla začíná objevovat, tolik důležité pravidelné kontroly u očního lékaře,“</w:t>
      </w:r>
      <w:r>
        <w:rPr>
          <w:rFonts w:ascii="Tahoma" w:eastAsia="Tahoma" w:hAnsi="Tahoma" w:cs="Tahoma"/>
          <w:sz w:val="21"/>
          <w:szCs w:val="21"/>
        </w:rPr>
        <w:t xml:space="preserve"> řekl </w:t>
      </w:r>
      <w:sdt>
        <w:sdtPr>
          <w:tag w:val="goog_rdk_1"/>
          <w:id w:val="-1984791140"/>
        </w:sdtPr>
        <w:sdtContent/>
      </w:sdt>
      <w:r>
        <w:rPr>
          <w:rFonts w:ascii="Tahoma" w:eastAsia="Tahoma" w:hAnsi="Tahoma" w:cs="Tahoma"/>
          <w:sz w:val="21"/>
          <w:szCs w:val="21"/>
        </w:rPr>
        <w:t xml:space="preserve">Pavel Stodůlka, přednosta sítě očních klinik </w:t>
      </w:r>
      <w:hyperlink r:id="rId4">
        <w:r>
          <w:rPr>
            <w:rFonts w:ascii="Tahoma" w:eastAsia="Tahoma" w:hAnsi="Tahoma" w:cs="Tahoma"/>
            <w:color w:val="0000FF"/>
            <w:sz w:val="21"/>
            <w:szCs w:val="21"/>
            <w:u w:val="single"/>
          </w:rPr>
          <w:t>Gemini</w:t>
        </w:r>
      </w:hyperlink>
      <w:r>
        <w:rPr>
          <w:rFonts w:ascii="Tahoma" w:eastAsia="Tahoma" w:hAnsi="Tahoma" w:cs="Tahoma"/>
          <w:sz w:val="21"/>
          <w:szCs w:val="21"/>
        </w:rPr>
        <w:t>.</w:t>
      </w:r>
    </w:p>
    <w:p w14:paraId="73C9346B" w14:textId="77777777" w:rsidR="00F05BFD" w:rsidRDefault="00F05BFD" w:rsidP="00F05BFD">
      <w:pPr>
        <w:jc w:val="both"/>
        <w:rPr>
          <w:rFonts w:ascii="Tahoma" w:eastAsia="Tahoma" w:hAnsi="Tahoma" w:cs="Tahoma"/>
          <w:sz w:val="21"/>
          <w:szCs w:val="21"/>
        </w:rPr>
      </w:pPr>
      <w:r>
        <w:rPr>
          <w:rFonts w:ascii="Tahoma" w:eastAsia="Tahoma" w:hAnsi="Tahoma" w:cs="Tahoma"/>
          <w:sz w:val="21"/>
          <w:szCs w:val="21"/>
        </w:rPr>
        <w:t xml:space="preserve">Počet lidí s glaukomem v populaci stále narůstá. Odhaduje se, že do roku 2040 může být závažným onemocněním zdraku postiženo až 110 milionů lidí. Roli hrají především genetika, věk a vliv dalších onemocnění, například cukrovky. Častěji se objevuje u osob starších 65 let. Nevyhýbá se však ani mladším. Se zeleným zákalem se potýkají dokonce i děti, většinou dědičně. </w:t>
      </w:r>
      <w:r>
        <w:rPr>
          <w:rFonts w:ascii="Tahoma" w:eastAsia="Tahoma" w:hAnsi="Tahoma" w:cs="Tahoma"/>
          <w:color w:val="CC9900"/>
          <w:sz w:val="21"/>
          <w:szCs w:val="21"/>
        </w:rPr>
        <w:t xml:space="preserve">„Výskyt zeleného zákalu se nejčastěji diagnostikuje u dospělých a riziko s přibývajícími roky roste. Zelený zákal ale mohou mít i mladí lidé a vzácně i děti. Některé typy zeleného zákalu mohou vzniknout v kterémkoli věku, například po úrazech oka, při zánětech nebo i v souvislosti s dalšími očními onemocněními či po některých operacích,“ </w:t>
      </w:r>
      <w:r>
        <w:rPr>
          <w:rFonts w:ascii="Tahoma" w:eastAsia="Tahoma" w:hAnsi="Tahoma" w:cs="Tahoma"/>
          <w:sz w:val="21"/>
          <w:szCs w:val="21"/>
        </w:rPr>
        <w:t xml:space="preserve">vysvětlila </w:t>
      </w:r>
      <w:r w:rsidRPr="002E0DB1">
        <w:rPr>
          <w:rFonts w:ascii="Tahoma" w:eastAsia="Tahoma" w:hAnsi="Tahoma" w:cs="Tahoma"/>
          <w:sz w:val="21"/>
          <w:szCs w:val="21"/>
        </w:rPr>
        <w:t>Ivana Maťugová</w:t>
      </w:r>
      <w:r>
        <w:rPr>
          <w:rFonts w:ascii="Tahoma" w:eastAsia="Tahoma" w:hAnsi="Tahoma" w:cs="Tahoma"/>
          <w:sz w:val="21"/>
          <w:szCs w:val="21"/>
        </w:rPr>
        <w:t>, lékařka oční kliniky Gemini.</w:t>
      </w:r>
    </w:p>
    <w:p w14:paraId="08ECEEE0" w14:textId="77777777" w:rsidR="00F05BFD" w:rsidRDefault="00F05BFD" w:rsidP="00F05BFD">
      <w:pPr>
        <w:jc w:val="both"/>
        <w:rPr>
          <w:rFonts w:ascii="Tahoma" w:eastAsia="Tahoma" w:hAnsi="Tahoma" w:cs="Tahoma"/>
          <w:sz w:val="21"/>
          <w:szCs w:val="21"/>
        </w:rPr>
      </w:pPr>
      <w:r>
        <w:rPr>
          <w:rFonts w:ascii="Tahoma" w:eastAsia="Tahoma" w:hAnsi="Tahoma" w:cs="Tahoma"/>
          <w:sz w:val="21"/>
          <w:szCs w:val="21"/>
        </w:rPr>
        <w:t xml:space="preserve">Lidé zelený zákal často zaměňují za šedý. Rozdíly mezi nimi jsou ale obrovské. Zatímco dnešní medicína si dokáže se šedým zákalem poradit, na glaukom jsou oční chirurgové stále krátcí. </w:t>
      </w:r>
      <w:r>
        <w:rPr>
          <w:rFonts w:ascii="Tahoma" w:eastAsia="Tahoma" w:hAnsi="Tahoma" w:cs="Tahoma"/>
          <w:color w:val="CC9900"/>
          <w:sz w:val="21"/>
          <w:szCs w:val="21"/>
        </w:rPr>
        <w:t xml:space="preserve">„Šedý zákal neboli katarakta je onemocnění, při němž dochází k postupnému zakalení oční čočky, kvůli kterému člověk vidí mlhavě, hůř rozeznává detaily a často ho víc oslňují světla. Zelený zákal je onemocnění, při němž se postupně poškozuje zrakový nerv a typicky dochází k výpadkům zorného pole. Zatímco šedý zákal se obvykle řeší operací s velmi dobrým efektem na ostrost vidění, poškození zrakového nervu u glaukomu je nevratné a léčba se zaměřuje na zpomalení nebo zastavení postupu onemocnění,“ </w:t>
      </w:r>
      <w:r>
        <w:rPr>
          <w:rFonts w:ascii="Tahoma" w:eastAsia="Tahoma" w:hAnsi="Tahoma" w:cs="Tahoma"/>
          <w:sz w:val="21"/>
          <w:szCs w:val="21"/>
        </w:rPr>
        <w:t>popsal světově uznávaný oční chirurg.</w:t>
      </w:r>
    </w:p>
    <w:p w14:paraId="0494C08D" w14:textId="77777777" w:rsidR="00F05BFD" w:rsidRDefault="00F05BFD" w:rsidP="00F05BFD">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Zelený zákal je celosvětově druhou nejčastější příčinou slepoty. S jeho následky si současná oční medicína poradit nedokáže, dokáže ale jeho průběh zpomalit. Zásadní je přijít k lékaři včas. </w:t>
      </w:r>
      <w:r>
        <w:rPr>
          <w:rFonts w:ascii="Tahoma" w:eastAsia="Tahoma" w:hAnsi="Tahoma" w:cs="Tahoma"/>
          <w:color w:val="CC9900"/>
          <w:sz w:val="21"/>
          <w:szCs w:val="21"/>
        </w:rPr>
        <w:t xml:space="preserve">„I když je poškození zraku zeleným zákalem nevratné, lze ve většině případů zelený zákal zastavit nebo zpomalit očními kapkami na snížení nitroočního tlaku. Pokud oční kapky nezabírají, může oční lékař navrhnout laserový či chirurgický zákrok, který nitrooční tlak sníží. Pokročilý glaukom způsobuje výpadky zorného pole a může vést až k úplnému oslepnutí,“ </w:t>
      </w:r>
      <w:r>
        <w:rPr>
          <w:rFonts w:ascii="Tahoma" w:eastAsia="Tahoma" w:hAnsi="Tahoma" w:cs="Tahoma"/>
          <w:sz w:val="21"/>
          <w:szCs w:val="21"/>
        </w:rPr>
        <w:t>upozornil Pavel Stodůlka.</w:t>
      </w:r>
    </w:p>
    <w:p w14:paraId="59AB850A" w14:textId="77777777" w:rsidR="00F05BFD" w:rsidRDefault="00F05BFD" w:rsidP="00F05BFD">
      <w:pPr>
        <w:pBdr>
          <w:top w:val="none" w:sz="0" w:space="0" w:color="000000"/>
          <w:left w:val="none" w:sz="0" w:space="0" w:color="000000"/>
          <w:bottom w:val="none" w:sz="0" w:space="0" w:color="000000"/>
          <w:right w:val="none" w:sz="0" w:space="0" w:color="000000"/>
          <w:between w:val="none" w:sz="0" w:space="0" w:color="000000"/>
        </w:pBdr>
        <w:jc w:val="both"/>
        <w:rPr>
          <w:rFonts w:ascii="Tahoma" w:eastAsia="Tahoma" w:hAnsi="Tahoma" w:cs="Tahoma"/>
          <w:sz w:val="20"/>
          <w:szCs w:val="20"/>
        </w:rPr>
      </w:pPr>
      <w:r>
        <w:rPr>
          <w:rFonts w:ascii="Tahoma" w:eastAsia="Tahoma" w:hAnsi="Tahoma" w:cs="Tahoma"/>
          <w:b/>
          <w:bCs/>
        </w:rPr>
        <w:lastRenderedPageBreak/>
        <w:t>KONTAKT PRO MÉDIA:</w:t>
      </w:r>
    </w:p>
    <w:p w14:paraId="241BA3BB" w14:textId="77777777" w:rsidR="00F05BFD" w:rsidRDefault="00F05BFD" w:rsidP="00F05BFD">
      <w:pPr>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ahoma" w:eastAsia="Tahoma" w:hAnsi="Tahoma" w:cs="Tahoma"/>
          <w:b/>
          <w:bCs/>
          <w:color w:val="CC9900"/>
          <w:sz w:val="16"/>
          <w:szCs w:val="16"/>
        </w:rPr>
      </w:pPr>
      <w:r>
        <w:rPr>
          <w:rFonts w:ascii="Tahoma" w:eastAsia="Tahoma" w:hAnsi="Tahoma" w:cs="Tahoma"/>
          <w:b/>
          <w:bCs/>
          <w:color w:val="333333"/>
          <w:sz w:val="16"/>
          <w:szCs w:val="16"/>
        </w:rPr>
        <w:t>Mgr. Petra Ďurčíková</w:t>
      </w:r>
      <w:r>
        <w:rPr>
          <w:rFonts w:ascii="Tahoma" w:eastAsia="Tahoma" w:hAnsi="Tahoma" w:cs="Tahoma"/>
          <w:b/>
          <w:bCs/>
          <w:color w:val="CC9900"/>
          <w:sz w:val="16"/>
          <w:szCs w:val="16"/>
        </w:rPr>
        <w:t>_mediální konzultant</w:t>
      </w:r>
    </w:p>
    <w:p w14:paraId="53650144" w14:textId="77777777" w:rsidR="00F05BFD" w:rsidRDefault="00F05BFD" w:rsidP="00F05BF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ahoma" w:eastAsia="Tahoma" w:hAnsi="Tahoma" w:cs="Tahoma"/>
          <w:b/>
          <w:bCs/>
          <w:sz w:val="16"/>
          <w:szCs w:val="16"/>
        </w:rPr>
      </w:pPr>
      <w:r>
        <w:rPr>
          <w:rFonts w:ascii="Tahoma" w:eastAsia="Tahoma" w:hAnsi="Tahoma" w:cs="Tahoma"/>
          <w:b/>
          <w:bCs/>
          <w:noProof/>
          <w:sz w:val="16"/>
          <w:szCs w:val="16"/>
        </w:rPr>
        <w:drawing>
          <wp:inline distT="0" distB="0" distL="0" distR="0" wp14:anchorId="38C26112" wp14:editId="1412C3FC">
            <wp:extent cx="828675" cy="131954"/>
            <wp:effectExtent l="0" t="0" r="0" b="0"/>
            <wp:docPr id="3" name="image1.png" descr="pear_media logo_fin rgb_bez okraju.jpg"/>
            <wp:cNvGraphicFramePr/>
            <a:graphic xmlns:a="http://schemas.openxmlformats.org/drawingml/2006/main">
              <a:graphicData uri="http://schemas.openxmlformats.org/drawingml/2006/picture">
                <pic:pic xmlns:pic="http://schemas.openxmlformats.org/drawingml/2006/picture">
                  <pic:nvPicPr>
                    <pic:cNvPr id="0" name="image1.png" descr="pear_media logo_fin rgb_bez okraju.jpg"/>
                    <pic:cNvPicPr preferRelativeResize="0"/>
                  </pic:nvPicPr>
                  <pic:blipFill>
                    <a:blip r:embed="rId5"/>
                    <a:srcRect/>
                    <a:stretch>
                      <a:fillRect/>
                    </a:stretch>
                  </pic:blipFill>
                  <pic:spPr>
                    <a:xfrm>
                      <a:off x="0" y="0"/>
                      <a:ext cx="828675" cy="131954"/>
                    </a:xfrm>
                    <a:prstGeom prst="rect">
                      <a:avLst/>
                    </a:prstGeom>
                    <a:ln/>
                  </pic:spPr>
                </pic:pic>
              </a:graphicData>
            </a:graphic>
          </wp:inline>
        </w:drawing>
      </w:r>
    </w:p>
    <w:p w14:paraId="64EE80B7" w14:textId="77777777" w:rsidR="00F05BFD" w:rsidRDefault="00F05BFD" w:rsidP="00F05BF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ahoma" w:eastAsia="Tahoma" w:hAnsi="Tahoma" w:cs="Tahoma"/>
          <w:b/>
          <w:bCs/>
          <w:sz w:val="16"/>
          <w:szCs w:val="16"/>
        </w:rPr>
      </w:pPr>
      <w:r>
        <w:rPr>
          <w:rFonts w:ascii="Tahoma" w:eastAsia="Tahoma" w:hAnsi="Tahoma" w:cs="Tahoma"/>
          <w:b/>
          <w:bCs/>
          <w:sz w:val="16"/>
          <w:szCs w:val="16"/>
        </w:rPr>
        <w:t xml:space="preserve">+420 733 643 825, </w:t>
      </w:r>
      <w:hyperlink r:id="rId6">
        <w:r>
          <w:rPr>
            <w:rFonts w:ascii="Tahoma" w:eastAsia="Tahoma" w:hAnsi="Tahoma" w:cs="Tahoma"/>
            <w:b/>
            <w:bCs/>
            <w:color w:val="0000FF"/>
            <w:sz w:val="16"/>
            <w:szCs w:val="16"/>
            <w:u w:val="single"/>
          </w:rPr>
          <w:t>petra@pearmedia.cz</w:t>
        </w:r>
      </w:hyperlink>
      <w:r>
        <w:rPr>
          <w:rFonts w:ascii="Tahoma" w:eastAsia="Tahoma" w:hAnsi="Tahoma" w:cs="Tahoma"/>
          <w:b/>
          <w:bCs/>
          <w:sz w:val="16"/>
          <w:szCs w:val="16"/>
        </w:rPr>
        <w:t xml:space="preserve"> </w:t>
      </w:r>
    </w:p>
    <w:p w14:paraId="2CCCE5B7" w14:textId="77777777" w:rsidR="00F05BFD" w:rsidRDefault="00F05BFD" w:rsidP="00F05BFD">
      <w:pPr>
        <w:pBdr>
          <w:bottom w:val="single" w:sz="6" w:space="0" w:color="000000"/>
        </w:pBdr>
        <w:spacing w:line="240" w:lineRule="auto"/>
        <w:rPr>
          <w:rFonts w:ascii="Tahoma" w:eastAsia="Tahoma" w:hAnsi="Tahoma" w:cs="Tahoma"/>
          <w:sz w:val="18"/>
          <w:szCs w:val="18"/>
        </w:rPr>
      </w:pPr>
      <w:hyperlink r:id="rId7">
        <w:r>
          <w:rPr>
            <w:rFonts w:ascii="Tahoma" w:eastAsia="Tahoma" w:hAnsi="Tahoma" w:cs="Tahoma"/>
            <w:b/>
            <w:bCs/>
            <w:color w:val="0000FF"/>
            <w:sz w:val="16"/>
            <w:szCs w:val="16"/>
            <w:u w:val="single"/>
          </w:rPr>
          <w:t>pearmedia.cz</w:t>
        </w:r>
      </w:hyperlink>
      <w:r>
        <w:rPr>
          <w:rFonts w:ascii="Tahoma" w:eastAsia="Tahoma" w:hAnsi="Tahoma" w:cs="Tahoma"/>
          <w:sz w:val="20"/>
          <w:szCs w:val="20"/>
        </w:rPr>
        <w:br/>
      </w:r>
    </w:p>
    <w:p w14:paraId="4B957346" w14:textId="77777777" w:rsidR="00F05BFD" w:rsidRDefault="00F05BFD" w:rsidP="00F05BFD">
      <w:pPr>
        <w:jc w:val="both"/>
      </w:pPr>
      <w:r>
        <w:rPr>
          <w:rFonts w:ascii="Tahoma" w:eastAsia="Tahoma" w:hAnsi="Tahoma" w:cs="Tahoma"/>
          <w:b/>
          <w:bCs/>
          <w:sz w:val="18"/>
          <w:szCs w:val="18"/>
        </w:rPr>
        <w:t xml:space="preserve">SOUKROMÁ OČNÍ KLINIKA GEMINI, </w:t>
      </w:r>
      <w:hyperlink r:id="rId8">
        <w:r>
          <w:rPr>
            <w:rFonts w:ascii="Tahoma" w:eastAsia="Tahoma" w:hAnsi="Tahoma" w:cs="Tahoma"/>
            <w:b/>
            <w:bCs/>
            <w:color w:val="0000FF"/>
            <w:sz w:val="18"/>
            <w:szCs w:val="18"/>
            <w:u w:val="single"/>
          </w:rPr>
          <w:t>www.gemini.cz</w:t>
        </w:r>
      </w:hyperlink>
    </w:p>
    <w:p w14:paraId="3F741D72" w14:textId="77777777" w:rsidR="00F05BFD" w:rsidRDefault="00F05BFD" w:rsidP="00F05BFD">
      <w:pPr>
        <w:jc w:val="both"/>
        <w:rPr>
          <w:rFonts w:ascii="Tahoma" w:eastAsia="Tahoma" w:hAnsi="Tahoma" w:cs="Tahoma"/>
          <w:sz w:val="18"/>
          <w:szCs w:val="18"/>
        </w:rPr>
      </w:pPr>
      <w:r>
        <w:rPr>
          <w:rFonts w:ascii="Tahoma" w:eastAsia="Tahoma" w:hAnsi="Tahoma" w:cs="Tahoma"/>
          <w:sz w:val="18"/>
          <w:szCs w:val="18"/>
        </w:rPr>
        <w:t>Soukromá oční klinika Gemini rozvíjí dlouholetou tradici zlínské oční chirurgie. První klinika byla otevřena ve Zlíně v roce 2003 a v současnosti provozuje klinika v České republice deset pracovišť: ve Zlíně, v Průhonicích u Prahy, Praze-Jinonicích, Českých Budějovicích, Ostravě, Vyškově, Brně, Novém Jičíně a Liberci. Jako jediná česká oční klinika otevřela pracoviště také ve Vídni. Vedle operací zbavujících pacienty potřeby nosit brýle a operací šedého zákalu se na klinikách provádějí i estetické zákroky, jako například plastika horních a dolních víček. Ročně se na klinice provede více než 40 000 zákroků. V současnosti v Gemini pracuje přes 400 zaměstnanců. V čele týmu operatérů stojí světově uznávaný oční chirurg prim. MUDr. Pavel Stodůlka, Ph.D., FEBOS-CR.</w:t>
      </w:r>
    </w:p>
    <w:p w14:paraId="649A7029" w14:textId="77777777" w:rsidR="00F05BFD" w:rsidRDefault="00F05BFD" w:rsidP="00F05BFD"/>
    <w:p w14:paraId="13CDB541" w14:textId="77777777" w:rsidR="00F05BFD" w:rsidRDefault="00F05BFD" w:rsidP="00F05BFD"/>
    <w:p w14:paraId="55AF48B7" w14:textId="77777777" w:rsidR="00F05BFD" w:rsidRDefault="00F05BFD" w:rsidP="00F05BFD"/>
    <w:p w14:paraId="408586F9" w14:textId="77777777" w:rsidR="00F05BFD" w:rsidRDefault="00F05BFD" w:rsidP="00F05BFD"/>
    <w:p w14:paraId="5D97C6E9" w14:textId="77777777" w:rsidR="00F05BFD" w:rsidRDefault="00F05BFD" w:rsidP="00F05BFD"/>
    <w:p w14:paraId="22B6CB49" w14:textId="77777777" w:rsidR="00F05BFD" w:rsidRDefault="00F05BFD" w:rsidP="00F05BFD"/>
    <w:p w14:paraId="59A185E9" w14:textId="77777777" w:rsidR="00F05BFD" w:rsidRDefault="00F05BFD" w:rsidP="00F05BFD"/>
    <w:p w14:paraId="249B260B" w14:textId="77777777" w:rsidR="00F05BFD" w:rsidRDefault="00F05BFD" w:rsidP="00F05BFD"/>
    <w:p w14:paraId="6F0F4B23" w14:textId="77777777" w:rsidR="00F05BFD" w:rsidRDefault="00F05BFD" w:rsidP="00F05BFD"/>
    <w:p w14:paraId="318A08C2" w14:textId="77777777" w:rsidR="00F05BFD" w:rsidRDefault="00F05BFD"/>
    <w:sectPr w:rsidR="00F05BFD" w:rsidSect="00F05BFD">
      <w:headerReference w:type="default" r:id="rId9"/>
      <w:footerReference w:type="default" r:id="rId10"/>
      <w:pgSz w:w="11900" w:h="16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7289" w14:textId="77777777" w:rsidR="00F05BFD" w:rsidRDefault="00F05BFD">
    <w:pPr>
      <w:pBdr>
        <w:top w:val="nil"/>
        <w:left w:val="nil"/>
        <w:bottom w:val="nil"/>
        <w:right w:val="nil"/>
        <w:between w:val="nil"/>
      </w:pBdr>
      <w:tabs>
        <w:tab w:val="center" w:pos="4536"/>
        <w:tab w:val="right" w:pos="9072"/>
        <w:tab w:val="right" w:pos="9046"/>
      </w:tabs>
      <w:spacing w:after="0" w:line="240" w:lineRule="auto"/>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6939"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36"/>
        <w:szCs w:val="36"/>
      </w:rPr>
    </w:pPr>
    <w:r>
      <w:rPr>
        <w:b/>
        <w:bCs/>
        <w:noProof/>
        <w:color w:val="000000"/>
        <w:sz w:val="36"/>
        <w:szCs w:val="36"/>
      </w:rPr>
      <w:drawing>
        <wp:inline distT="0" distB="0" distL="0" distR="0" wp14:anchorId="55DE7259" wp14:editId="51D5B1FF">
          <wp:extent cx="3536786" cy="647700"/>
          <wp:effectExtent l="0" t="0" r="0" b="0"/>
          <wp:docPr id="4" name="image2.png" descr="C:\Users\Notebook\Downloads\logo_gemini_ocni_klinika_RGB.jpg"/>
          <wp:cNvGraphicFramePr/>
          <a:graphic xmlns:a="http://schemas.openxmlformats.org/drawingml/2006/main">
            <a:graphicData uri="http://schemas.openxmlformats.org/drawingml/2006/picture">
              <pic:pic xmlns:pic="http://schemas.openxmlformats.org/drawingml/2006/picture">
                <pic:nvPicPr>
                  <pic:cNvPr id="0" name="image2.png" descr="C:\Users\Notebook\Downloads\logo_gemini_ocni_klinika_RGB.jpg"/>
                  <pic:cNvPicPr preferRelativeResize="0"/>
                </pic:nvPicPr>
                <pic:blipFill>
                  <a:blip r:embed="rId1"/>
                  <a:srcRect l="13753" t="36594" r="13050" b="35868"/>
                  <a:stretch>
                    <a:fillRect/>
                  </a:stretch>
                </pic:blipFill>
                <pic:spPr>
                  <a:xfrm>
                    <a:off x="0" y="0"/>
                    <a:ext cx="3536786" cy="647700"/>
                  </a:xfrm>
                  <a:prstGeom prst="rect">
                    <a:avLst/>
                  </a:prstGeom>
                  <a:ln/>
                </pic:spPr>
              </pic:pic>
            </a:graphicData>
          </a:graphic>
        </wp:inline>
      </w:drawing>
    </w:r>
    <w:r>
      <w:rPr>
        <w:b/>
        <w:bCs/>
        <w:color w:val="000000"/>
        <w:sz w:val="36"/>
        <w:szCs w:val="36"/>
      </w:rPr>
      <w:tab/>
      <w:t>TISKOVÁ ZPRÁVA</w:t>
    </w:r>
  </w:p>
  <w:p w14:paraId="17D27EE9"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015B63E6"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2A142B53"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62CECE8B"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32D6831A"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6A703B15"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6E978F22"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475B0AE1"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0ABD3993"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18567C18"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48E36754"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56FFEDB6"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334F440C"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02F24D8A"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24955E0F"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11461E66"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4A08FB55"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559EC245"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468FBB77"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13179B60"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0BB06EDF"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0A9A0EF2"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533C1AA7"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43D7501C"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36291B0A"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61FF1271"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p w14:paraId="117361A7" w14:textId="77777777" w:rsidR="00F05BFD" w:rsidRDefault="00F05BFD">
    <w:pPr>
      <w:pBdr>
        <w:top w:val="nil"/>
        <w:left w:val="nil"/>
        <w:bottom w:val="nil"/>
        <w:right w:val="nil"/>
        <w:between w:val="nil"/>
      </w:pBdr>
      <w:tabs>
        <w:tab w:val="left" w:pos="1680"/>
        <w:tab w:val="left" w:pos="1740"/>
        <w:tab w:val="center" w:pos="4536"/>
        <w:tab w:val="right" w:pos="9072"/>
        <w:tab w:val="left" w:pos="3615"/>
        <w:tab w:val="right" w:pos="9046"/>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BFD"/>
    <w:rsid w:val="00436404"/>
    <w:rsid w:val="00F05B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0D0DF"/>
  <w15:chartTrackingRefBased/>
  <w15:docId w15:val="{BAAE9C7E-C7A2-46CC-A20E-0C799D78A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05BFD"/>
    <w:pPr>
      <w:spacing w:after="200" w:line="276" w:lineRule="auto"/>
    </w:pPr>
    <w:rPr>
      <w:rFonts w:ascii="Calibri" w:eastAsia="Calibri" w:hAnsi="Calibri" w:cs="Calibri"/>
      <w:kern w:val="0"/>
      <w:sz w:val="22"/>
      <w:szCs w:val="22"/>
      <w:lang w:val="it" w:eastAsia="cs-CZ"/>
      <w14:ligatures w14:val="none"/>
    </w:rPr>
  </w:style>
  <w:style w:type="paragraph" w:styleId="Nadpis1">
    <w:name w:val="heading 1"/>
    <w:basedOn w:val="Normln"/>
    <w:next w:val="Normln"/>
    <w:link w:val="Nadpis1Char"/>
    <w:uiPriority w:val="9"/>
    <w:qFormat/>
    <w:rsid w:val="00F05BF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cs-CZ" w:eastAsia="en-US"/>
      <w14:ligatures w14:val="standardContextual"/>
    </w:rPr>
  </w:style>
  <w:style w:type="paragraph" w:styleId="Nadpis2">
    <w:name w:val="heading 2"/>
    <w:basedOn w:val="Normln"/>
    <w:next w:val="Normln"/>
    <w:link w:val="Nadpis2Char"/>
    <w:uiPriority w:val="9"/>
    <w:semiHidden/>
    <w:unhideWhenUsed/>
    <w:qFormat/>
    <w:rsid w:val="00F05BF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cs-CZ" w:eastAsia="en-US"/>
      <w14:ligatures w14:val="standardContextual"/>
    </w:rPr>
  </w:style>
  <w:style w:type="paragraph" w:styleId="Nadpis3">
    <w:name w:val="heading 3"/>
    <w:basedOn w:val="Normln"/>
    <w:next w:val="Normln"/>
    <w:link w:val="Nadpis3Char"/>
    <w:uiPriority w:val="9"/>
    <w:semiHidden/>
    <w:unhideWhenUsed/>
    <w:qFormat/>
    <w:rsid w:val="00F05BF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cs-CZ" w:eastAsia="en-US"/>
      <w14:ligatures w14:val="standardContextual"/>
    </w:rPr>
  </w:style>
  <w:style w:type="paragraph" w:styleId="Nadpis4">
    <w:name w:val="heading 4"/>
    <w:basedOn w:val="Normln"/>
    <w:next w:val="Normln"/>
    <w:link w:val="Nadpis4Char"/>
    <w:uiPriority w:val="9"/>
    <w:semiHidden/>
    <w:unhideWhenUsed/>
    <w:qFormat/>
    <w:rsid w:val="00F05BF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cs-CZ" w:eastAsia="en-US"/>
      <w14:ligatures w14:val="standardContextual"/>
    </w:rPr>
  </w:style>
  <w:style w:type="paragraph" w:styleId="Nadpis5">
    <w:name w:val="heading 5"/>
    <w:basedOn w:val="Normln"/>
    <w:next w:val="Normln"/>
    <w:link w:val="Nadpis5Char"/>
    <w:uiPriority w:val="9"/>
    <w:semiHidden/>
    <w:unhideWhenUsed/>
    <w:qFormat/>
    <w:rsid w:val="00F05BF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cs-CZ" w:eastAsia="en-US"/>
      <w14:ligatures w14:val="standardContextual"/>
    </w:rPr>
  </w:style>
  <w:style w:type="paragraph" w:styleId="Nadpis6">
    <w:name w:val="heading 6"/>
    <w:basedOn w:val="Normln"/>
    <w:next w:val="Normln"/>
    <w:link w:val="Nadpis6Char"/>
    <w:uiPriority w:val="9"/>
    <w:semiHidden/>
    <w:unhideWhenUsed/>
    <w:qFormat/>
    <w:rsid w:val="00F05BF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cs-CZ" w:eastAsia="en-US"/>
      <w14:ligatures w14:val="standardContextual"/>
    </w:rPr>
  </w:style>
  <w:style w:type="paragraph" w:styleId="Nadpis7">
    <w:name w:val="heading 7"/>
    <w:basedOn w:val="Normln"/>
    <w:next w:val="Normln"/>
    <w:link w:val="Nadpis7Char"/>
    <w:uiPriority w:val="9"/>
    <w:semiHidden/>
    <w:unhideWhenUsed/>
    <w:qFormat/>
    <w:rsid w:val="00F05BF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cs-CZ" w:eastAsia="en-US"/>
      <w14:ligatures w14:val="standardContextual"/>
    </w:rPr>
  </w:style>
  <w:style w:type="paragraph" w:styleId="Nadpis8">
    <w:name w:val="heading 8"/>
    <w:basedOn w:val="Normln"/>
    <w:next w:val="Normln"/>
    <w:link w:val="Nadpis8Char"/>
    <w:uiPriority w:val="9"/>
    <w:semiHidden/>
    <w:unhideWhenUsed/>
    <w:qFormat/>
    <w:rsid w:val="00F05BF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cs-CZ" w:eastAsia="en-US"/>
      <w14:ligatures w14:val="standardContextual"/>
    </w:rPr>
  </w:style>
  <w:style w:type="paragraph" w:styleId="Nadpis9">
    <w:name w:val="heading 9"/>
    <w:basedOn w:val="Normln"/>
    <w:next w:val="Normln"/>
    <w:link w:val="Nadpis9Char"/>
    <w:uiPriority w:val="9"/>
    <w:semiHidden/>
    <w:unhideWhenUsed/>
    <w:qFormat/>
    <w:rsid w:val="00F05BF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cs-CZ"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05BF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F05BF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F05BFD"/>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F05BF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F05BF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F05BF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05BF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05BF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05BFD"/>
    <w:rPr>
      <w:rFonts w:eastAsiaTheme="majorEastAsia" w:cstheme="majorBidi"/>
      <w:color w:val="272727" w:themeColor="text1" w:themeTint="D8"/>
    </w:rPr>
  </w:style>
  <w:style w:type="paragraph" w:styleId="Nzev">
    <w:name w:val="Title"/>
    <w:basedOn w:val="Normln"/>
    <w:next w:val="Normln"/>
    <w:link w:val="NzevChar"/>
    <w:uiPriority w:val="10"/>
    <w:qFormat/>
    <w:rsid w:val="00F05BFD"/>
    <w:pPr>
      <w:spacing w:after="80" w:line="240" w:lineRule="auto"/>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NzevChar">
    <w:name w:val="Název Char"/>
    <w:basedOn w:val="Standardnpsmoodstavce"/>
    <w:link w:val="Nzev"/>
    <w:uiPriority w:val="10"/>
    <w:rsid w:val="00F05BF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05BF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PodnadpisChar">
    <w:name w:val="Podnadpis Char"/>
    <w:basedOn w:val="Standardnpsmoodstavce"/>
    <w:link w:val="Podnadpis"/>
    <w:uiPriority w:val="11"/>
    <w:rsid w:val="00F05BF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05BF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cs-CZ" w:eastAsia="en-US"/>
      <w14:ligatures w14:val="standardContextual"/>
    </w:rPr>
  </w:style>
  <w:style w:type="character" w:customStyle="1" w:styleId="CittChar">
    <w:name w:val="Citát Char"/>
    <w:basedOn w:val="Standardnpsmoodstavce"/>
    <w:link w:val="Citt"/>
    <w:uiPriority w:val="29"/>
    <w:rsid w:val="00F05BFD"/>
    <w:rPr>
      <w:i/>
      <w:iCs/>
      <w:color w:val="404040" w:themeColor="text1" w:themeTint="BF"/>
    </w:rPr>
  </w:style>
  <w:style w:type="paragraph" w:styleId="Odstavecseseznamem">
    <w:name w:val="List Paragraph"/>
    <w:basedOn w:val="Normln"/>
    <w:uiPriority w:val="34"/>
    <w:qFormat/>
    <w:rsid w:val="00F05BFD"/>
    <w:pPr>
      <w:spacing w:after="160" w:line="278" w:lineRule="auto"/>
      <w:ind w:left="720"/>
      <w:contextualSpacing/>
    </w:pPr>
    <w:rPr>
      <w:rFonts w:asciiTheme="minorHAnsi" w:eastAsiaTheme="minorHAnsi" w:hAnsiTheme="minorHAnsi" w:cstheme="minorBidi"/>
      <w:kern w:val="2"/>
      <w:sz w:val="24"/>
      <w:szCs w:val="24"/>
      <w:lang w:val="cs-CZ" w:eastAsia="en-US"/>
      <w14:ligatures w14:val="standardContextual"/>
    </w:rPr>
  </w:style>
  <w:style w:type="character" w:styleId="Zdraznnintenzivn">
    <w:name w:val="Intense Emphasis"/>
    <w:basedOn w:val="Standardnpsmoodstavce"/>
    <w:uiPriority w:val="21"/>
    <w:qFormat/>
    <w:rsid w:val="00F05BFD"/>
    <w:rPr>
      <w:i/>
      <w:iCs/>
      <w:color w:val="2F5496" w:themeColor="accent1" w:themeShade="BF"/>
    </w:rPr>
  </w:style>
  <w:style w:type="paragraph" w:styleId="Vrazncitt">
    <w:name w:val="Intense Quote"/>
    <w:basedOn w:val="Normln"/>
    <w:next w:val="Normln"/>
    <w:link w:val="VrazncittChar"/>
    <w:uiPriority w:val="30"/>
    <w:qFormat/>
    <w:rsid w:val="00F05BF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cs-CZ" w:eastAsia="en-US"/>
      <w14:ligatures w14:val="standardContextual"/>
    </w:rPr>
  </w:style>
  <w:style w:type="character" w:customStyle="1" w:styleId="VrazncittChar">
    <w:name w:val="Výrazný citát Char"/>
    <w:basedOn w:val="Standardnpsmoodstavce"/>
    <w:link w:val="Vrazncitt"/>
    <w:uiPriority w:val="30"/>
    <w:rsid w:val="00F05BFD"/>
    <w:rPr>
      <w:i/>
      <w:iCs/>
      <w:color w:val="2F5496" w:themeColor="accent1" w:themeShade="BF"/>
    </w:rPr>
  </w:style>
  <w:style w:type="character" w:styleId="Odkazintenzivn">
    <w:name w:val="Intense Reference"/>
    <w:basedOn w:val="Standardnpsmoodstavce"/>
    <w:uiPriority w:val="32"/>
    <w:qFormat/>
    <w:rsid w:val="00F05B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mini.cz/" TargetMode="External"/><Relationship Id="rId3" Type="http://schemas.openxmlformats.org/officeDocument/2006/relationships/webSettings" Target="webSettings.xml"/><Relationship Id="rId7" Type="http://schemas.openxmlformats.org/officeDocument/2006/relationships/hyperlink" Target="http://www.pearmedia.c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tra@pearmedia.cz"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hyperlink" Target="http://www.gemini.cz/" TargetMode="Externa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3801</Characters>
  <Application>Microsoft Office Word</Application>
  <DocSecurity>0</DocSecurity>
  <Lines>31</Lines>
  <Paragraphs>8</Paragraphs>
  <ScaleCrop>false</ScaleCrop>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cp:keywords/>
  <dc:description/>
  <cp:lastModifiedBy>Petra Ďurčíková</cp:lastModifiedBy>
  <cp:revision>1</cp:revision>
  <dcterms:created xsi:type="dcterms:W3CDTF">2026-02-17T15:07:00Z</dcterms:created>
  <dcterms:modified xsi:type="dcterms:W3CDTF">2026-02-17T15:07:00Z</dcterms:modified>
</cp:coreProperties>
</file>