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C18E2" w14:textId="77777777" w:rsidR="000E7A33" w:rsidRPr="00412759" w:rsidRDefault="000E7A33" w:rsidP="000E7A33">
      <w:pPr>
        <w:spacing w:after="0"/>
        <w:jc w:val="center"/>
        <w:rPr>
          <w:rFonts w:ascii="Tahoma" w:hAnsi="Tahoma" w:cs="Tahoma"/>
          <w:b/>
          <w:bCs/>
          <w:sz w:val="44"/>
          <w:szCs w:val="44"/>
        </w:rPr>
      </w:pPr>
      <w:r w:rsidRPr="00412759">
        <w:rPr>
          <w:rFonts w:ascii="Tahoma" w:hAnsi="Tahoma" w:cs="Tahoma"/>
          <w:b/>
          <w:bCs/>
          <w:sz w:val="44"/>
          <w:szCs w:val="44"/>
        </w:rPr>
        <w:t xml:space="preserve">Investiční poradna: </w:t>
      </w:r>
      <w:r>
        <w:rPr>
          <w:rFonts w:ascii="Tahoma" w:hAnsi="Tahoma" w:cs="Tahoma"/>
          <w:b/>
          <w:bCs/>
          <w:sz w:val="44"/>
          <w:szCs w:val="44"/>
        </w:rPr>
        <w:t>proč a kam investovat naspořené peníze</w:t>
      </w:r>
      <w:r w:rsidRPr="00412759">
        <w:rPr>
          <w:rFonts w:ascii="Tahoma" w:hAnsi="Tahoma" w:cs="Tahoma"/>
          <w:b/>
          <w:bCs/>
          <w:sz w:val="44"/>
          <w:szCs w:val="44"/>
        </w:rPr>
        <w:t>?</w:t>
      </w:r>
    </w:p>
    <w:p w14:paraId="20235DCF" w14:textId="77777777" w:rsidR="000E7A33" w:rsidRDefault="000E7A33" w:rsidP="000E7A33">
      <w:pPr>
        <w:jc w:val="both"/>
        <w:rPr>
          <w:rFonts w:ascii="Tahoma" w:eastAsia="Tahoma" w:hAnsi="Tahoma" w:cs="Tahoma"/>
          <w:b/>
          <w:sz w:val="21"/>
          <w:szCs w:val="21"/>
        </w:rPr>
      </w:pPr>
    </w:p>
    <w:p w14:paraId="07D2A186" w14:textId="77777777" w:rsidR="000E7A33" w:rsidRDefault="000E7A33" w:rsidP="000E7A33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PRAHA, 12. KVĚTNA 2022 – Rostoucí inflace, zdražování energií, růst cen – to jsou hlavní důvody, proč se stále víc Čechů obává o své úspory a začínají se zajímat o možnosti investování. Počet lidí v Česku, kteří hledají, jak své peníze lépe zhodnotit, roste, na</w:t>
      </w:r>
      <w:r w:rsidRPr="0068706B">
        <w:rPr>
          <w:rFonts w:ascii="Tahoma" w:eastAsia="Tahoma" w:hAnsi="Tahoma" w:cs="Tahoma"/>
          <w:b/>
          <w:sz w:val="21"/>
          <w:szCs w:val="21"/>
        </w:rPr>
        <w:t xml:space="preserve"> někter</w:t>
      </w:r>
      <w:r>
        <w:rPr>
          <w:rFonts w:ascii="Tahoma" w:eastAsia="Tahoma" w:hAnsi="Tahoma" w:cs="Tahoma"/>
          <w:b/>
          <w:sz w:val="21"/>
          <w:szCs w:val="21"/>
        </w:rPr>
        <w:t>ý</w:t>
      </w:r>
      <w:r w:rsidRPr="0068706B">
        <w:rPr>
          <w:rFonts w:ascii="Tahoma" w:eastAsia="Tahoma" w:hAnsi="Tahoma" w:cs="Tahoma"/>
          <w:b/>
          <w:sz w:val="21"/>
          <w:szCs w:val="21"/>
        </w:rPr>
        <w:t xml:space="preserve"> z investičních produktů už </w:t>
      </w:r>
      <w:r>
        <w:rPr>
          <w:rFonts w:ascii="Tahoma" w:eastAsia="Tahoma" w:hAnsi="Tahoma" w:cs="Tahoma"/>
          <w:b/>
          <w:sz w:val="21"/>
          <w:szCs w:val="21"/>
        </w:rPr>
        <w:t>nyní spoléhá</w:t>
      </w:r>
      <w:r w:rsidRPr="0068706B">
        <w:rPr>
          <w:rFonts w:ascii="Tahoma" w:eastAsia="Tahoma" w:hAnsi="Tahoma" w:cs="Tahoma"/>
          <w:b/>
          <w:sz w:val="21"/>
          <w:szCs w:val="21"/>
        </w:rPr>
        <w:t xml:space="preserve"> polovina </w:t>
      </w:r>
      <w:r>
        <w:rPr>
          <w:rFonts w:ascii="Tahoma" w:eastAsia="Tahoma" w:hAnsi="Tahoma" w:cs="Tahoma"/>
          <w:b/>
          <w:sz w:val="21"/>
          <w:szCs w:val="21"/>
        </w:rPr>
        <w:t xml:space="preserve">obyvatel. </w:t>
      </w:r>
    </w:p>
    <w:p w14:paraId="368B448F" w14:textId="77777777" w:rsidR="000E7A33" w:rsidRDefault="000E7A33" w:rsidP="000E7A33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Češi v minulosti obecně patřili k těm, kteří mají své peníze uložené převážně v bance, do investic se nepouštějí a se svými financemi nakládají spíš konzervativně</w:t>
      </w:r>
      <w:r w:rsidRPr="004E225D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Zhoršující se ekonomická situace ale jejich přístup mění a Češi se své úspory snaží „zachránit“. </w:t>
      </w:r>
      <w:r w:rsidRPr="004E225D">
        <w:rPr>
          <w:rFonts w:ascii="Tahoma" w:eastAsia="Tahoma" w:hAnsi="Tahoma" w:cs="Tahoma"/>
          <w:sz w:val="21"/>
          <w:szCs w:val="21"/>
        </w:rPr>
        <w:t xml:space="preserve">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3445A2">
        <w:rPr>
          <w:rFonts w:ascii="Tahoma" w:eastAsia="Tahoma" w:hAnsi="Tahoma" w:cs="Tahoma"/>
          <w:color w:val="CC9900"/>
          <w:sz w:val="21"/>
          <w:szCs w:val="21"/>
        </w:rPr>
        <w:t>Mít peníze uložené v bance je nevýhodné poměrně dlouhou dobu, neboť banky dlouhodobě nenabízejí v podstatě žádné zhodnocení úspor. Inflace je sice jeden z hlavních viditelných důvodů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nynějšího obratu v zájmu Čechů o investice</w:t>
      </w:r>
      <w:r w:rsidRPr="003445A2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>
        <w:rPr>
          <w:rFonts w:ascii="Tahoma" w:eastAsia="Tahoma" w:hAnsi="Tahoma" w:cs="Tahoma"/>
          <w:color w:val="CC9900"/>
          <w:sz w:val="21"/>
          <w:szCs w:val="21"/>
        </w:rPr>
        <w:t>byla tu ale vždy</w:t>
      </w:r>
      <w:r w:rsidRPr="003445A2">
        <w:rPr>
          <w:rFonts w:ascii="Tahoma" w:eastAsia="Tahoma" w:hAnsi="Tahoma" w:cs="Tahoma"/>
          <w:color w:val="CC9900"/>
          <w:sz w:val="21"/>
          <w:szCs w:val="21"/>
        </w:rPr>
        <w:t xml:space="preserve">. Vezměme horizont 10 let. Na co vám v roce 2011 stačilo 100 000 korun, na to jste v roce 2021 potřebovali 122 411 korun, přičemž průměrná meziroční inflace dosáhla hodnoty 2,04 %. </w:t>
      </w:r>
      <w:r>
        <w:rPr>
          <w:rFonts w:ascii="Tahoma" w:eastAsia="Tahoma" w:hAnsi="Tahoma" w:cs="Tahoma"/>
          <w:color w:val="CC9900"/>
          <w:sz w:val="21"/>
          <w:szCs w:val="21"/>
        </w:rPr>
        <w:t>Lidé tento růst ale v podstatě nevnímali nebo mu nerozuměli. S dramatickým růstem inflace v letošním roce je ale situace opačná. Jednoduše inflace už je natolik vysoká, že Češi mají o své naspořené peníze mnohem větší obavy než v letech minulých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řekl </w:t>
      </w:r>
      <w:r w:rsidRPr="004E225D">
        <w:rPr>
          <w:rFonts w:ascii="Tahoma" w:eastAsia="Tahoma" w:hAnsi="Tahoma" w:cs="Tahoma"/>
          <w:sz w:val="21"/>
          <w:szCs w:val="21"/>
        </w:rPr>
        <w:t xml:space="preserve">Roman </w:t>
      </w:r>
      <w:proofErr w:type="spellStart"/>
      <w:r w:rsidRPr="004E225D">
        <w:rPr>
          <w:rFonts w:ascii="Tahoma" w:eastAsia="Tahoma" w:hAnsi="Tahoma" w:cs="Tahoma"/>
          <w:sz w:val="21"/>
          <w:szCs w:val="21"/>
        </w:rPr>
        <w:t>Pilíšek</w:t>
      </w:r>
      <w:proofErr w:type="spellEnd"/>
      <w:r>
        <w:rPr>
          <w:rFonts w:ascii="Tahoma" w:eastAsia="Tahoma" w:hAnsi="Tahoma" w:cs="Tahoma"/>
          <w:sz w:val="21"/>
          <w:szCs w:val="21"/>
        </w:rPr>
        <w:t>, ekonom a spoluzakladatel společnosti Zlaté rezervy</w:t>
      </w:r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17D1E23E" w14:textId="77777777" w:rsidR="000E7A33" w:rsidRDefault="000E7A33" w:rsidP="000E7A33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Mezi nejoblíbenější investice stále patří nemovitosti. Ty ale vždy byly pro investory s větším množstvím naspořených peněz. Ani spoření do akcií není pro každého, je třeba se alespoň trochu orientovat na trhu s cennými papíry. Existují ale i investice pro ty, kteří nedisponují takovým množstvím úspor.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>Pokud máte opravdu velkou částku, investujete pravděpodobně do nemovitosti v co nejlepším stavu, která nevyžaduje další investici. Navíc pokud chcete, může vám začít, kromě dlouhodobého zhodnocení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 xml:space="preserve"> okamžitě vydělávat. U cenných papírů a akcií vás čeká buďto pomoc odborníka, nebo vlastní čas strávený nad studiem problematiky a realitou akciového trhu. Zlato je naproti tomu jednoduchá investice, bez skrytých záludností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uvedl</w:t>
      </w:r>
      <w:r w:rsidRPr="004E225D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4E225D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69E11227" w14:textId="77777777" w:rsidR="000E7A33" w:rsidRPr="004E225D" w:rsidRDefault="000E7A33" w:rsidP="000E7A33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Právě investování do zlata patří k nejjednodušším. Není třeba mít k dispozici extrémně vysokou částku ani ekonomické znalosti. </w:t>
      </w:r>
      <w:r w:rsidRPr="00F76F1E">
        <w:rPr>
          <w:rFonts w:ascii="Tahoma" w:eastAsia="Tahoma" w:hAnsi="Tahoma" w:cs="Tahoma"/>
          <w:sz w:val="21"/>
          <w:szCs w:val="21"/>
        </w:rPr>
        <w:t xml:space="preserve">Na trhu jsou k prodeji mince a slitky, které si </w:t>
      </w:r>
      <w:r>
        <w:rPr>
          <w:rFonts w:ascii="Tahoma" w:eastAsia="Tahoma" w:hAnsi="Tahoma" w:cs="Tahoma"/>
          <w:sz w:val="21"/>
          <w:szCs w:val="21"/>
        </w:rPr>
        <w:t>každý může</w:t>
      </w:r>
      <w:r w:rsidRPr="00F76F1E">
        <w:rPr>
          <w:rFonts w:ascii="Tahoma" w:eastAsia="Tahoma" w:hAnsi="Tahoma" w:cs="Tahoma"/>
          <w:sz w:val="21"/>
          <w:szCs w:val="21"/>
        </w:rPr>
        <w:t xml:space="preserve"> koupit buďto za hotovost</w:t>
      </w:r>
      <w:r>
        <w:rPr>
          <w:rFonts w:ascii="Tahoma" w:eastAsia="Tahoma" w:hAnsi="Tahoma" w:cs="Tahoma"/>
          <w:sz w:val="21"/>
          <w:szCs w:val="21"/>
        </w:rPr>
        <w:t xml:space="preserve"> a </w:t>
      </w:r>
      <w:r w:rsidRPr="002D78D5">
        <w:rPr>
          <w:rFonts w:ascii="Tahoma" w:eastAsia="Tahoma" w:hAnsi="Tahoma" w:cs="Tahoma"/>
          <w:sz w:val="21"/>
          <w:szCs w:val="21"/>
        </w:rPr>
        <w:t>nech</w:t>
      </w:r>
      <w:r>
        <w:rPr>
          <w:rFonts w:ascii="Tahoma" w:eastAsia="Tahoma" w:hAnsi="Tahoma" w:cs="Tahoma"/>
          <w:sz w:val="21"/>
          <w:szCs w:val="21"/>
        </w:rPr>
        <w:t>a</w:t>
      </w:r>
      <w:r w:rsidRPr="002D78D5">
        <w:rPr>
          <w:rFonts w:ascii="Tahoma" w:eastAsia="Tahoma" w:hAnsi="Tahoma" w:cs="Tahoma"/>
          <w:sz w:val="21"/>
          <w:szCs w:val="21"/>
        </w:rPr>
        <w:t>t si j</w:t>
      </w:r>
      <w:r>
        <w:rPr>
          <w:rFonts w:ascii="Tahoma" w:eastAsia="Tahoma" w:hAnsi="Tahoma" w:cs="Tahoma"/>
          <w:sz w:val="21"/>
          <w:szCs w:val="21"/>
        </w:rPr>
        <w:t>e</w:t>
      </w:r>
      <w:r w:rsidRPr="002D78D5">
        <w:rPr>
          <w:rFonts w:ascii="Tahoma" w:eastAsia="Tahoma" w:hAnsi="Tahoma" w:cs="Tahoma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uschovat</w:t>
      </w:r>
      <w:r w:rsidRPr="002D78D5">
        <w:rPr>
          <w:rFonts w:ascii="Tahoma" w:eastAsia="Tahoma" w:hAnsi="Tahoma" w:cs="Tahoma"/>
          <w:sz w:val="21"/>
          <w:szCs w:val="21"/>
        </w:rPr>
        <w:t xml:space="preserve"> nebo poslat domů</w:t>
      </w:r>
      <w:r w:rsidRPr="00F76F1E">
        <w:rPr>
          <w:rFonts w:ascii="Tahoma" w:eastAsia="Tahoma" w:hAnsi="Tahoma" w:cs="Tahoma"/>
          <w:sz w:val="21"/>
          <w:szCs w:val="21"/>
        </w:rPr>
        <w:t>, nebo si může do zlata spořit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2D78D5">
        <w:rPr>
          <w:rFonts w:ascii="Tahoma" w:eastAsia="Tahoma" w:hAnsi="Tahoma" w:cs="Tahoma"/>
          <w:sz w:val="21"/>
          <w:szCs w:val="21"/>
        </w:rPr>
        <w:t>a rozložit si celkovou částku na 12 plateb v rámci jednoho roku</w:t>
      </w:r>
      <w:r w:rsidRPr="00F76F1E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Obecně je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 xml:space="preserve"> užitečné mít nějaký konkrétní cíl, ke kterému svoje spoření vztáhnu. Pak jsem schopen se třeba i více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>uskrovnit a odložit si větší částku, protože bez konkrétního cíle tyto peníze mnohdy nakonec spotřebuji. Když to převedu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 xml:space="preserve">na spoření do zlata, pak mi stačí spořit měsíčně </w:t>
      </w:r>
      <w:r>
        <w:rPr>
          <w:rFonts w:ascii="Tahoma" w:eastAsia="Tahoma" w:hAnsi="Tahoma" w:cs="Tahoma"/>
          <w:color w:val="CC9900"/>
          <w:sz w:val="21"/>
          <w:szCs w:val="21"/>
        </w:rPr>
        <w:t>čtyři tisíce korun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 xml:space="preserve"> a za rok </w:t>
      </w:r>
      <w:r>
        <w:rPr>
          <w:rFonts w:ascii="Tahoma" w:eastAsia="Tahoma" w:hAnsi="Tahoma" w:cs="Tahoma"/>
          <w:color w:val="CC9900"/>
          <w:sz w:val="21"/>
          <w:szCs w:val="21"/>
        </w:rPr>
        <w:t>mám</w:t>
      </w:r>
      <w:r w:rsidRPr="00F76F1E">
        <w:rPr>
          <w:rFonts w:ascii="Tahoma" w:eastAsia="Tahoma" w:hAnsi="Tahoma" w:cs="Tahoma"/>
          <w:color w:val="CC9900"/>
          <w:sz w:val="21"/>
          <w:szCs w:val="21"/>
        </w:rPr>
        <w:t xml:space="preserve"> uncovou zlatou minci doma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Nejnižší možná částka spoření do zlata je pak 1 222 korun měsíčně. </w:t>
      </w:r>
      <w:r w:rsidRPr="00EF17D5">
        <w:rPr>
          <w:rFonts w:ascii="Tahoma" w:eastAsia="Tahoma" w:hAnsi="Tahoma" w:cs="Tahoma"/>
          <w:color w:val="CC9900"/>
          <w:sz w:val="21"/>
          <w:szCs w:val="21"/>
        </w:rPr>
        <w:t>Rozdíl je v tom, že při koupi za hotovost máte zlato u sebe hned, zatímco při spoření obdržíte zlato až po zaplacení celé částky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4E225D">
        <w:rPr>
          <w:rFonts w:ascii="Tahoma" w:eastAsia="Tahoma" w:hAnsi="Tahoma" w:cs="Tahoma"/>
          <w:sz w:val="21"/>
          <w:szCs w:val="21"/>
        </w:rPr>
        <w:t xml:space="preserve"> Roman </w:t>
      </w:r>
      <w:proofErr w:type="spellStart"/>
      <w:r w:rsidRPr="004E225D">
        <w:rPr>
          <w:rFonts w:ascii="Tahoma" w:eastAsia="Tahoma" w:hAnsi="Tahoma" w:cs="Tahoma"/>
          <w:sz w:val="21"/>
          <w:szCs w:val="21"/>
        </w:rPr>
        <w:t>Pilíšek</w:t>
      </w:r>
      <w:proofErr w:type="spellEnd"/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7A8253C2" w14:textId="77777777" w:rsidR="000E7A33" w:rsidRDefault="000E7A33" w:rsidP="000E7A33">
      <w:pPr>
        <w:jc w:val="both"/>
        <w:rPr>
          <w:rFonts w:ascii="Tahoma" w:eastAsia="Tahoma" w:hAnsi="Tahoma" w:cs="Tahoma"/>
          <w:b/>
        </w:rPr>
      </w:pPr>
    </w:p>
    <w:p w14:paraId="74D42166" w14:textId="77777777" w:rsidR="000E7A33" w:rsidRDefault="000E7A33" w:rsidP="000E7A33">
      <w:pPr>
        <w:jc w:val="both"/>
        <w:rPr>
          <w:rFonts w:ascii="Tahoma" w:eastAsia="Tahoma" w:hAnsi="Tahoma" w:cs="Tahoma"/>
          <w:b/>
        </w:rPr>
      </w:pPr>
    </w:p>
    <w:p w14:paraId="091243DD" w14:textId="77777777" w:rsidR="000E7A33" w:rsidRPr="00D04086" w:rsidRDefault="000E7A33" w:rsidP="000E7A33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14:paraId="1CC227DD" w14:textId="77777777" w:rsidR="000E7A33" w:rsidRPr="006C6CB2" w:rsidRDefault="000E7A33" w:rsidP="000E7A3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 xml:space="preserve">Mgr. Petra </w:t>
      </w:r>
      <w:proofErr w:type="spellStart"/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</w:t>
      </w:r>
      <w:proofErr w:type="spellEnd"/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 xml:space="preserve"> konzultant</w:t>
      </w:r>
    </w:p>
    <w:p w14:paraId="5F801410" w14:textId="77777777" w:rsidR="000E7A33" w:rsidRPr="006C6CB2" w:rsidRDefault="000E7A33" w:rsidP="000E7A33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427CBD0E" wp14:editId="466DA571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8E8E4A" w14:textId="77777777" w:rsidR="000E7A33" w:rsidRPr="006C6CB2" w:rsidRDefault="000E7A33" w:rsidP="000E7A3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5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2AF59CFA" w14:textId="77777777" w:rsidR="000E7A33" w:rsidRPr="006C6CB2" w:rsidRDefault="000E7A33" w:rsidP="000E7A33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14:paraId="2B93F278" w14:textId="77777777" w:rsidR="000E7A33" w:rsidRPr="006C6CB2" w:rsidRDefault="000E7A33" w:rsidP="000E7A33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7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65C9C2A7" w14:textId="77777777" w:rsidR="000E7A33" w:rsidRPr="006C6CB2" w:rsidRDefault="000E7A33" w:rsidP="000E7A33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 xml:space="preserve">. Fyzické investiční zlato a stříbro je svým charakterem zboží, jehož cena je ovlivňována vývojem na světových </w:t>
      </w:r>
      <w:proofErr w:type="gramStart"/>
      <w:r w:rsidRPr="006C6CB2">
        <w:rPr>
          <w:rFonts w:ascii="Tahoma" w:eastAsia="Tahoma" w:hAnsi="Tahoma" w:cs="Tahoma"/>
          <w:sz w:val="20"/>
          <w:szCs w:val="20"/>
        </w:rPr>
        <w:t>trzích - držitel</w:t>
      </w:r>
      <w:proofErr w:type="gramEnd"/>
      <w:r w:rsidRPr="006C6CB2">
        <w:rPr>
          <w:rFonts w:ascii="Tahoma" w:eastAsia="Tahoma" w:hAnsi="Tahoma" w:cs="Tahoma"/>
          <w:sz w:val="20"/>
          <w:szCs w:val="20"/>
        </w:rPr>
        <w:t xml:space="preserve">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14:paraId="083D7170" w14:textId="77777777" w:rsidR="000E7A33" w:rsidRDefault="000E7A33" w:rsidP="000E7A33">
      <w:bookmarkStart w:id="0" w:name="_heading=h.30j0zll" w:colFirst="0" w:colLast="0"/>
      <w:bookmarkEnd w:id="0"/>
    </w:p>
    <w:p w14:paraId="38359753" w14:textId="77777777" w:rsidR="000E7A33" w:rsidRDefault="000E7A33" w:rsidP="000E7A33"/>
    <w:p w14:paraId="7AFB297C" w14:textId="77777777" w:rsidR="000E7A33" w:rsidRDefault="000E7A33" w:rsidP="000E7A33"/>
    <w:p w14:paraId="10736E30" w14:textId="77777777" w:rsidR="000E7A33" w:rsidRDefault="000E7A33" w:rsidP="000E7A33"/>
    <w:p w14:paraId="3756EFE5" w14:textId="77777777" w:rsidR="000E7A33" w:rsidRDefault="000E7A33" w:rsidP="000E7A33"/>
    <w:p w14:paraId="1D3DF079" w14:textId="77777777" w:rsidR="000E7A33" w:rsidRDefault="000E7A33" w:rsidP="000E7A33"/>
    <w:p w14:paraId="6C3F01FC" w14:textId="77777777" w:rsidR="000E7A33" w:rsidRDefault="000E7A33" w:rsidP="000E7A33"/>
    <w:p w14:paraId="483C0AF2" w14:textId="77777777" w:rsidR="000E7A33" w:rsidRDefault="000E7A33" w:rsidP="000E7A33"/>
    <w:p w14:paraId="54CCB94B" w14:textId="77777777" w:rsidR="000E7A33" w:rsidRDefault="000E7A33"/>
    <w:sectPr w:rsidR="000E7A33">
      <w:headerReference w:type="default" r:id="rId8"/>
      <w:footerReference w:type="default" r:id="rId9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F5BD3" w14:textId="77777777" w:rsidR="003E7288" w:rsidRDefault="000E7A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22986D" w14:textId="77777777" w:rsidR="003E7288" w:rsidRDefault="000E7A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B458" w14:textId="77777777" w:rsidR="008E6923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9C37B12" w14:textId="77777777" w:rsidR="002743EA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62247017" wp14:editId="2AED1EE3">
          <wp:simplePos x="0" y="0"/>
          <wp:positionH relativeFrom="column">
            <wp:posOffset>47307</wp:posOffset>
          </wp:positionH>
          <wp:positionV relativeFrom="paragraph">
            <wp:posOffset>213360</wp:posOffset>
          </wp:positionV>
          <wp:extent cx="2202972" cy="466189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202972" cy="466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5538FC" w14:textId="77777777" w:rsidR="003E7288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2F77CE0D" w14:textId="77777777" w:rsidR="008E6923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22288C89" w14:textId="77777777" w:rsidR="008E6923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8A42603" w14:textId="77777777" w:rsidR="00C13632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C52E415" w14:textId="77777777" w:rsidR="00C13632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304CCCD" w14:textId="77777777" w:rsidR="00144024" w:rsidRPr="00C13632" w:rsidRDefault="000E7A33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A319FC6" w14:textId="77777777" w:rsidR="00AC010A" w:rsidRDefault="000E7A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3CCB5DD3" w14:textId="77777777" w:rsidR="003E7288" w:rsidRDefault="000E7A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33"/>
    <w:rsid w:val="000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B375"/>
  <w15:chartTrackingRefBased/>
  <w15:docId w15:val="{7EA8DCAB-2555-427A-A542-73373BE6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A33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E7A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zlaterezervy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armedi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2022-05-11T11:09:00Z</dcterms:created>
  <dcterms:modified xsi:type="dcterms:W3CDTF">2022-05-11T11:09:00Z</dcterms:modified>
</cp:coreProperties>
</file>