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4FC16" w14:textId="459AA021" w:rsidR="0019567B" w:rsidRPr="00644CF0" w:rsidRDefault="00570659" w:rsidP="0019567B">
      <w:pPr>
        <w:jc w:val="center"/>
        <w:rPr>
          <w:rFonts w:ascii="Tahoma" w:eastAsia="Tahoma" w:hAnsi="Tahoma" w:cs="Tahoma"/>
          <w:b/>
          <w:sz w:val="52"/>
          <w:szCs w:val="52"/>
        </w:rPr>
      </w:pPr>
      <w:r w:rsidRPr="00644CF0">
        <w:rPr>
          <w:rFonts w:ascii="Tahoma" w:eastAsia="Tahoma" w:hAnsi="Tahoma" w:cs="Tahoma"/>
          <w:b/>
          <w:sz w:val="52"/>
          <w:szCs w:val="52"/>
        </w:rPr>
        <w:t xml:space="preserve">Velikost prsou </w:t>
      </w:r>
      <w:r w:rsidR="002E4B98" w:rsidRPr="00644CF0">
        <w:rPr>
          <w:rFonts w:ascii="Tahoma" w:eastAsia="Tahoma" w:hAnsi="Tahoma" w:cs="Tahoma"/>
          <w:b/>
          <w:sz w:val="52"/>
          <w:szCs w:val="52"/>
        </w:rPr>
        <w:t>ne</w:t>
      </w:r>
      <w:r w:rsidRPr="00644CF0">
        <w:rPr>
          <w:rFonts w:ascii="Tahoma" w:eastAsia="Tahoma" w:hAnsi="Tahoma" w:cs="Tahoma"/>
          <w:b/>
          <w:sz w:val="52"/>
          <w:szCs w:val="52"/>
        </w:rPr>
        <w:t xml:space="preserve">řeší </w:t>
      </w:r>
      <w:r w:rsidR="002E4B98" w:rsidRPr="00644CF0">
        <w:rPr>
          <w:rFonts w:ascii="Tahoma" w:eastAsia="Tahoma" w:hAnsi="Tahoma" w:cs="Tahoma"/>
          <w:b/>
          <w:sz w:val="52"/>
          <w:szCs w:val="52"/>
        </w:rPr>
        <w:t>jen ženy</w:t>
      </w:r>
      <w:r w:rsidRPr="00644CF0">
        <w:rPr>
          <w:rFonts w:ascii="Tahoma" w:eastAsia="Tahoma" w:hAnsi="Tahoma" w:cs="Tahoma"/>
          <w:b/>
          <w:sz w:val="52"/>
          <w:szCs w:val="52"/>
        </w:rPr>
        <w:t xml:space="preserve">. Gynekomastie </w:t>
      </w:r>
      <w:r w:rsidR="000C1098" w:rsidRPr="00644CF0">
        <w:rPr>
          <w:rFonts w:ascii="Tahoma" w:eastAsia="Tahoma" w:hAnsi="Tahoma" w:cs="Tahoma"/>
          <w:b/>
          <w:sz w:val="52"/>
          <w:szCs w:val="52"/>
        </w:rPr>
        <w:t xml:space="preserve">běžně </w:t>
      </w:r>
      <w:r w:rsidRPr="00644CF0">
        <w:rPr>
          <w:rFonts w:ascii="Tahoma" w:eastAsia="Tahoma" w:hAnsi="Tahoma" w:cs="Tahoma"/>
          <w:b/>
          <w:sz w:val="52"/>
          <w:szCs w:val="52"/>
        </w:rPr>
        <w:t xml:space="preserve">trápí </w:t>
      </w:r>
      <w:r w:rsidR="000C1098" w:rsidRPr="00644CF0">
        <w:rPr>
          <w:rFonts w:ascii="Tahoma" w:eastAsia="Tahoma" w:hAnsi="Tahoma" w:cs="Tahoma"/>
          <w:b/>
          <w:sz w:val="52"/>
          <w:szCs w:val="52"/>
        </w:rPr>
        <w:t xml:space="preserve">novorozence i </w:t>
      </w:r>
      <w:r w:rsidR="002E4B98" w:rsidRPr="00644CF0">
        <w:rPr>
          <w:rFonts w:ascii="Tahoma" w:eastAsia="Tahoma" w:hAnsi="Tahoma" w:cs="Tahoma"/>
          <w:b/>
          <w:sz w:val="52"/>
          <w:szCs w:val="52"/>
        </w:rPr>
        <w:t>muže po padesátce</w:t>
      </w:r>
    </w:p>
    <w:p w14:paraId="639DFC0B" w14:textId="45B5914B" w:rsidR="00DC2C93" w:rsidRPr="00DC2C93" w:rsidRDefault="00E62105" w:rsidP="00DC2C93">
      <w:pPr>
        <w:jc w:val="both"/>
        <w:rPr>
          <w:rFonts w:ascii="Tahoma" w:eastAsia="Tahoma" w:hAnsi="Tahoma" w:cs="Tahoma"/>
          <w:b/>
          <w:sz w:val="21"/>
          <w:szCs w:val="21"/>
        </w:rPr>
      </w:pPr>
      <w:r>
        <w:rPr>
          <w:rFonts w:ascii="Tahoma" w:eastAsia="Tahoma" w:hAnsi="Tahoma" w:cs="Tahoma"/>
          <w:b/>
          <w:sz w:val="21"/>
          <w:szCs w:val="21"/>
        </w:rPr>
        <w:t xml:space="preserve">PRAHA, </w:t>
      </w:r>
      <w:r w:rsidR="00A35422">
        <w:rPr>
          <w:rFonts w:ascii="Tahoma" w:eastAsia="Tahoma" w:hAnsi="Tahoma" w:cs="Tahoma"/>
          <w:b/>
          <w:sz w:val="21"/>
          <w:szCs w:val="21"/>
        </w:rPr>
        <w:t>3</w:t>
      </w:r>
      <w:r>
        <w:rPr>
          <w:rFonts w:ascii="Tahoma" w:eastAsia="Tahoma" w:hAnsi="Tahoma" w:cs="Tahoma"/>
          <w:b/>
          <w:sz w:val="21"/>
          <w:szCs w:val="21"/>
        </w:rPr>
        <w:t xml:space="preserve">. </w:t>
      </w:r>
      <w:r w:rsidR="00570659">
        <w:rPr>
          <w:rFonts w:ascii="Tahoma" w:eastAsia="Tahoma" w:hAnsi="Tahoma" w:cs="Tahoma"/>
          <w:b/>
          <w:sz w:val="21"/>
          <w:szCs w:val="21"/>
        </w:rPr>
        <w:t xml:space="preserve">ZÁŘÍ </w:t>
      </w:r>
      <w:r w:rsidR="006A7221">
        <w:rPr>
          <w:rFonts w:ascii="Tahoma" w:eastAsia="Tahoma" w:hAnsi="Tahoma" w:cs="Tahoma"/>
          <w:b/>
          <w:sz w:val="21"/>
          <w:szCs w:val="21"/>
        </w:rPr>
        <w:t xml:space="preserve">2025 – </w:t>
      </w:r>
      <w:r w:rsidR="00587D69" w:rsidRPr="00570659">
        <w:rPr>
          <w:rFonts w:ascii="Tahoma" w:eastAsia="Tahoma" w:hAnsi="Tahoma" w:cs="Tahoma"/>
          <w:b/>
          <w:sz w:val="21"/>
          <w:szCs w:val="21"/>
        </w:rPr>
        <w:t xml:space="preserve">Gynekomastie </w:t>
      </w:r>
      <w:r w:rsidR="00587D69">
        <w:rPr>
          <w:rFonts w:ascii="Tahoma" w:eastAsia="Tahoma" w:hAnsi="Tahoma" w:cs="Tahoma"/>
          <w:b/>
          <w:sz w:val="21"/>
          <w:szCs w:val="21"/>
        </w:rPr>
        <w:t>– nezhoubné</w:t>
      </w:r>
      <w:r w:rsidR="00570659" w:rsidRPr="00570659">
        <w:rPr>
          <w:rFonts w:ascii="Tahoma" w:eastAsia="Tahoma" w:hAnsi="Tahoma" w:cs="Tahoma"/>
          <w:b/>
          <w:sz w:val="21"/>
          <w:szCs w:val="21"/>
        </w:rPr>
        <w:t xml:space="preserve"> zvětšení prsní žlázy u mužů, </w:t>
      </w:r>
      <w:r w:rsidR="00570659">
        <w:rPr>
          <w:rFonts w:ascii="Tahoma" w:eastAsia="Tahoma" w:hAnsi="Tahoma" w:cs="Tahoma"/>
          <w:b/>
          <w:sz w:val="21"/>
          <w:szCs w:val="21"/>
        </w:rPr>
        <w:t xml:space="preserve">nejčastěji </w:t>
      </w:r>
      <w:r w:rsidR="00570659" w:rsidRPr="00570659">
        <w:rPr>
          <w:rFonts w:ascii="Tahoma" w:eastAsia="Tahoma" w:hAnsi="Tahoma" w:cs="Tahoma"/>
          <w:b/>
          <w:sz w:val="21"/>
          <w:szCs w:val="21"/>
        </w:rPr>
        <w:t>způsobené hormonální nerovnováhou mezi estrogenem a testosteronem</w:t>
      </w:r>
      <w:r w:rsidR="006A7221" w:rsidRPr="006A7221">
        <w:rPr>
          <w:rFonts w:ascii="Tahoma" w:eastAsia="Tahoma" w:hAnsi="Tahoma" w:cs="Tahoma"/>
          <w:b/>
          <w:sz w:val="21"/>
          <w:szCs w:val="21"/>
        </w:rPr>
        <w:t>.</w:t>
      </w:r>
      <w:r w:rsidR="00570659">
        <w:rPr>
          <w:rFonts w:ascii="Tahoma" w:eastAsia="Tahoma" w:hAnsi="Tahoma" w:cs="Tahoma"/>
          <w:b/>
          <w:sz w:val="21"/>
          <w:szCs w:val="21"/>
        </w:rPr>
        <w:t xml:space="preserve"> </w:t>
      </w:r>
      <w:r w:rsidR="00587D69">
        <w:rPr>
          <w:rFonts w:ascii="Tahoma" w:eastAsia="Tahoma" w:hAnsi="Tahoma" w:cs="Tahoma"/>
          <w:b/>
          <w:sz w:val="21"/>
          <w:szCs w:val="21"/>
        </w:rPr>
        <w:t>Nejedná se</w:t>
      </w:r>
      <w:r w:rsidR="00570659" w:rsidRPr="00570659">
        <w:rPr>
          <w:rFonts w:ascii="Tahoma" w:eastAsia="Tahoma" w:hAnsi="Tahoma" w:cs="Tahoma"/>
          <w:b/>
          <w:sz w:val="21"/>
          <w:szCs w:val="21"/>
        </w:rPr>
        <w:t xml:space="preserve"> </w:t>
      </w:r>
      <w:r w:rsidR="00587D69">
        <w:rPr>
          <w:rFonts w:ascii="Tahoma" w:eastAsia="Tahoma" w:hAnsi="Tahoma" w:cs="Tahoma"/>
          <w:b/>
          <w:sz w:val="21"/>
          <w:szCs w:val="21"/>
        </w:rPr>
        <w:t xml:space="preserve">o </w:t>
      </w:r>
      <w:r w:rsidR="00570659" w:rsidRPr="00570659">
        <w:rPr>
          <w:rFonts w:ascii="Tahoma" w:eastAsia="Tahoma" w:hAnsi="Tahoma" w:cs="Tahoma"/>
          <w:b/>
          <w:sz w:val="21"/>
          <w:szCs w:val="21"/>
        </w:rPr>
        <w:t>vzácný jev</w:t>
      </w:r>
      <w:r w:rsidR="00570659">
        <w:rPr>
          <w:rFonts w:ascii="Tahoma" w:eastAsia="Tahoma" w:hAnsi="Tahoma" w:cs="Tahoma"/>
          <w:b/>
          <w:sz w:val="21"/>
          <w:szCs w:val="21"/>
        </w:rPr>
        <w:t xml:space="preserve">, </w:t>
      </w:r>
      <w:r w:rsidR="00570659" w:rsidRPr="00570659">
        <w:rPr>
          <w:rFonts w:ascii="Tahoma" w:eastAsia="Tahoma" w:hAnsi="Tahoma" w:cs="Tahoma"/>
          <w:b/>
          <w:sz w:val="21"/>
          <w:szCs w:val="21"/>
        </w:rPr>
        <w:t>naopak</w:t>
      </w:r>
      <w:r w:rsidR="00570659">
        <w:rPr>
          <w:rFonts w:ascii="Tahoma" w:eastAsia="Tahoma" w:hAnsi="Tahoma" w:cs="Tahoma"/>
          <w:b/>
          <w:sz w:val="21"/>
          <w:szCs w:val="21"/>
        </w:rPr>
        <w:t>!</w:t>
      </w:r>
      <w:r w:rsidR="00570659" w:rsidRPr="00570659">
        <w:rPr>
          <w:rFonts w:ascii="Tahoma" w:eastAsia="Tahoma" w:hAnsi="Tahoma" w:cs="Tahoma"/>
          <w:b/>
          <w:sz w:val="21"/>
          <w:szCs w:val="21"/>
        </w:rPr>
        <w:t xml:space="preserve"> </w:t>
      </w:r>
      <w:r w:rsidR="00587D69">
        <w:rPr>
          <w:rFonts w:ascii="Tahoma" w:eastAsia="Tahoma" w:hAnsi="Tahoma" w:cs="Tahoma"/>
          <w:b/>
          <w:sz w:val="21"/>
          <w:szCs w:val="21"/>
        </w:rPr>
        <w:t>N</w:t>
      </w:r>
      <w:r w:rsidR="000C1098" w:rsidRPr="000C1098">
        <w:rPr>
          <w:rFonts w:ascii="Tahoma" w:eastAsia="Tahoma" w:hAnsi="Tahoma" w:cs="Tahoma"/>
          <w:b/>
          <w:sz w:val="21"/>
          <w:szCs w:val="21"/>
        </w:rPr>
        <w:t>ějakou formu gynekomastie během života</w:t>
      </w:r>
      <w:r w:rsidR="000C1098">
        <w:rPr>
          <w:rFonts w:ascii="Tahoma" w:eastAsia="Tahoma" w:hAnsi="Tahoma" w:cs="Tahoma"/>
          <w:b/>
          <w:sz w:val="21"/>
          <w:szCs w:val="21"/>
        </w:rPr>
        <w:t xml:space="preserve"> zažijí 2 ze 3 mužů</w:t>
      </w:r>
      <w:r w:rsidR="00570659">
        <w:rPr>
          <w:rFonts w:ascii="Tahoma" w:eastAsia="Tahoma" w:hAnsi="Tahoma" w:cs="Tahoma"/>
          <w:b/>
          <w:sz w:val="21"/>
          <w:szCs w:val="21"/>
        </w:rPr>
        <w:t>.</w:t>
      </w:r>
    </w:p>
    <w:p w14:paraId="61F414D1" w14:textId="10D78CD9" w:rsidR="00DC2C93" w:rsidRPr="00587D69" w:rsidRDefault="000C1098" w:rsidP="00587D69">
      <w:pPr>
        <w:jc w:val="both"/>
        <w:rPr>
          <w:rFonts w:ascii="Tahoma" w:eastAsia="Tahoma" w:hAnsi="Tahoma" w:cs="Tahoma"/>
          <w:color w:val="CC9900"/>
          <w:sz w:val="21"/>
          <w:szCs w:val="21"/>
        </w:rPr>
      </w:pPr>
      <w:r w:rsidRPr="000C1098">
        <w:rPr>
          <w:rFonts w:ascii="Tahoma" w:eastAsia="Tahoma" w:hAnsi="Tahoma" w:cs="Tahoma"/>
          <w:sz w:val="21"/>
          <w:szCs w:val="21"/>
        </w:rPr>
        <w:t xml:space="preserve">Gynekomastie může mít různé příčiny, od hormonálních změn až po vliv </w:t>
      </w:r>
      <w:r w:rsidR="002E4B98">
        <w:rPr>
          <w:rFonts w:ascii="Tahoma" w:eastAsia="Tahoma" w:hAnsi="Tahoma" w:cs="Tahoma"/>
          <w:sz w:val="21"/>
          <w:szCs w:val="21"/>
        </w:rPr>
        <w:t>některých</w:t>
      </w:r>
      <w:r w:rsidR="002E4B98" w:rsidRPr="000C1098">
        <w:rPr>
          <w:rFonts w:ascii="Tahoma" w:eastAsia="Tahoma" w:hAnsi="Tahoma" w:cs="Tahoma"/>
          <w:sz w:val="21"/>
          <w:szCs w:val="21"/>
        </w:rPr>
        <w:t xml:space="preserve"> </w:t>
      </w:r>
      <w:r w:rsidRPr="000C1098">
        <w:rPr>
          <w:rFonts w:ascii="Tahoma" w:eastAsia="Tahoma" w:hAnsi="Tahoma" w:cs="Tahoma"/>
          <w:sz w:val="21"/>
          <w:szCs w:val="21"/>
        </w:rPr>
        <w:t xml:space="preserve">léků či životního stylu. </w:t>
      </w:r>
      <w:r w:rsidR="00DC2C93">
        <w:rPr>
          <w:rFonts w:ascii="Tahoma" w:eastAsia="Tahoma" w:hAnsi="Tahoma" w:cs="Tahoma"/>
          <w:color w:val="CC9900"/>
          <w:sz w:val="21"/>
          <w:szCs w:val="21"/>
        </w:rPr>
        <w:t>„</w:t>
      </w:r>
      <w:r w:rsidRPr="000C1098">
        <w:rPr>
          <w:rFonts w:ascii="Tahoma" w:eastAsia="Tahoma" w:hAnsi="Tahoma" w:cs="Tahoma"/>
          <w:color w:val="CC9900"/>
          <w:sz w:val="21"/>
          <w:szCs w:val="21"/>
        </w:rPr>
        <w:t xml:space="preserve">První, takzvaná novorozenecká gynekomastie, postihuje až 90 procent chlapečků. Důvodem je vysoká hladina hormonů, které získali během těhotenství od matky. Tento stav je přechodný a většinou spontánně odeznívá. Druhá skupina zahrnuje gynekomastii v období puberty, která se objevuje mezi 14. a 16. rokem života. Příčinou je hormonální nerovnováha, která může vést ke zvětšení prsní žlázy na jedné nebo obou stranách. Tento stav ale obvykle také nevyžaduje léčbu farmaceutiky ani chirurgický zásah. </w:t>
      </w:r>
      <w:r w:rsidR="00E73CE9" w:rsidRPr="00E73CE9">
        <w:rPr>
          <w:rFonts w:ascii="Tahoma" w:eastAsia="Tahoma" w:hAnsi="Tahoma" w:cs="Tahoma"/>
          <w:color w:val="CC9900"/>
          <w:sz w:val="21"/>
          <w:szCs w:val="21"/>
        </w:rPr>
        <w:t>Třetím typem je gynekomastie u dospělých mužů, která zpravidla sama od sebe nezmizí.</w:t>
      </w:r>
      <w:r w:rsidR="00E73CE9">
        <w:rPr>
          <w:rFonts w:ascii="Tahoma" w:eastAsia="Tahoma" w:hAnsi="Tahoma" w:cs="Tahoma"/>
          <w:color w:val="CC9900"/>
          <w:sz w:val="21"/>
          <w:szCs w:val="21"/>
        </w:rPr>
        <w:t xml:space="preserve"> </w:t>
      </w:r>
      <w:r w:rsidR="00587D69">
        <w:rPr>
          <w:rFonts w:ascii="Tahoma" w:eastAsia="Tahoma" w:hAnsi="Tahoma" w:cs="Tahoma"/>
          <w:color w:val="CC9900"/>
          <w:sz w:val="21"/>
          <w:szCs w:val="21"/>
        </w:rPr>
        <w:t xml:space="preserve">Způsobena může být </w:t>
      </w:r>
      <w:r w:rsidR="00587D69" w:rsidRPr="00587D69">
        <w:rPr>
          <w:rFonts w:ascii="Tahoma" w:eastAsia="Tahoma" w:hAnsi="Tahoma" w:cs="Tahoma"/>
          <w:color w:val="CC9900"/>
          <w:sz w:val="21"/>
          <w:szCs w:val="21"/>
        </w:rPr>
        <w:t>hormonální nerovnováh</w:t>
      </w:r>
      <w:r w:rsidR="00587D69">
        <w:rPr>
          <w:rFonts w:ascii="Tahoma" w:eastAsia="Tahoma" w:hAnsi="Tahoma" w:cs="Tahoma"/>
          <w:color w:val="CC9900"/>
          <w:sz w:val="21"/>
          <w:szCs w:val="21"/>
        </w:rPr>
        <w:t>ou</w:t>
      </w:r>
      <w:r w:rsidR="00587D69" w:rsidRPr="00587D69">
        <w:rPr>
          <w:rFonts w:ascii="Tahoma" w:eastAsia="Tahoma" w:hAnsi="Tahoma" w:cs="Tahoma"/>
          <w:color w:val="CC9900"/>
          <w:sz w:val="21"/>
          <w:szCs w:val="21"/>
        </w:rPr>
        <w:t xml:space="preserve"> </w:t>
      </w:r>
      <w:r w:rsidR="00587D69">
        <w:rPr>
          <w:rFonts w:ascii="Tahoma" w:eastAsia="Tahoma" w:hAnsi="Tahoma" w:cs="Tahoma"/>
          <w:color w:val="CC9900"/>
          <w:sz w:val="21"/>
          <w:szCs w:val="21"/>
        </w:rPr>
        <w:t>– nízký</w:t>
      </w:r>
      <w:r w:rsidR="00587D69" w:rsidRPr="00587D69">
        <w:rPr>
          <w:rFonts w:ascii="Tahoma" w:eastAsia="Tahoma" w:hAnsi="Tahoma" w:cs="Tahoma"/>
          <w:color w:val="CC9900"/>
          <w:sz w:val="21"/>
          <w:szCs w:val="21"/>
        </w:rPr>
        <w:t xml:space="preserve"> testosteron, vyšší estrogen,</w:t>
      </w:r>
      <w:r w:rsidR="00587D69">
        <w:rPr>
          <w:rFonts w:ascii="Tahoma" w:eastAsia="Tahoma" w:hAnsi="Tahoma" w:cs="Tahoma"/>
          <w:color w:val="CC9900"/>
          <w:sz w:val="21"/>
          <w:szCs w:val="21"/>
        </w:rPr>
        <w:t xml:space="preserve"> užíváním </w:t>
      </w:r>
      <w:r w:rsidR="00587D69" w:rsidRPr="00587D69">
        <w:rPr>
          <w:rFonts w:ascii="Tahoma" w:eastAsia="Tahoma" w:hAnsi="Tahoma" w:cs="Tahoma"/>
          <w:color w:val="CC9900"/>
          <w:sz w:val="21"/>
          <w:szCs w:val="21"/>
        </w:rPr>
        <w:t>lék</w:t>
      </w:r>
      <w:r w:rsidR="00587D69">
        <w:rPr>
          <w:rFonts w:ascii="Tahoma" w:eastAsia="Tahoma" w:hAnsi="Tahoma" w:cs="Tahoma"/>
          <w:color w:val="CC9900"/>
          <w:sz w:val="21"/>
          <w:szCs w:val="21"/>
        </w:rPr>
        <w:t xml:space="preserve">ů </w:t>
      </w:r>
      <w:r w:rsidR="00587D69" w:rsidRPr="00587D69">
        <w:rPr>
          <w:rFonts w:ascii="Tahoma" w:eastAsia="Tahoma" w:hAnsi="Tahoma" w:cs="Tahoma"/>
          <w:color w:val="CC9900"/>
          <w:sz w:val="21"/>
          <w:szCs w:val="21"/>
        </w:rPr>
        <w:t>např</w:t>
      </w:r>
      <w:r w:rsidR="00587D69">
        <w:rPr>
          <w:rFonts w:ascii="Tahoma" w:eastAsia="Tahoma" w:hAnsi="Tahoma" w:cs="Tahoma"/>
          <w:color w:val="CC9900"/>
          <w:sz w:val="21"/>
          <w:szCs w:val="21"/>
        </w:rPr>
        <w:t>íklad</w:t>
      </w:r>
      <w:r w:rsidR="00587D69" w:rsidRPr="00587D69">
        <w:rPr>
          <w:rFonts w:ascii="Tahoma" w:eastAsia="Tahoma" w:hAnsi="Tahoma" w:cs="Tahoma"/>
          <w:color w:val="CC9900"/>
          <w:sz w:val="21"/>
          <w:szCs w:val="21"/>
        </w:rPr>
        <w:t xml:space="preserve"> na tlak, antidepresiv</w:t>
      </w:r>
      <w:r w:rsidR="00587D69">
        <w:rPr>
          <w:rFonts w:ascii="Tahoma" w:eastAsia="Tahoma" w:hAnsi="Tahoma" w:cs="Tahoma"/>
          <w:color w:val="CC9900"/>
          <w:sz w:val="21"/>
          <w:szCs w:val="21"/>
        </w:rPr>
        <w:t xml:space="preserve"> nebo </w:t>
      </w:r>
      <w:r w:rsidR="00587D69" w:rsidRPr="00587D69">
        <w:rPr>
          <w:rFonts w:ascii="Tahoma" w:eastAsia="Tahoma" w:hAnsi="Tahoma" w:cs="Tahoma"/>
          <w:color w:val="CC9900"/>
          <w:sz w:val="21"/>
          <w:szCs w:val="21"/>
        </w:rPr>
        <w:t>anabolik,</w:t>
      </w:r>
      <w:r w:rsidR="00587D69">
        <w:rPr>
          <w:rFonts w:ascii="Tahoma" w:eastAsia="Tahoma" w:hAnsi="Tahoma" w:cs="Tahoma"/>
          <w:color w:val="CC9900"/>
          <w:sz w:val="21"/>
          <w:szCs w:val="21"/>
        </w:rPr>
        <w:t xml:space="preserve"> objevit se může i v důsledku </w:t>
      </w:r>
      <w:r w:rsidR="00587D69" w:rsidRPr="00587D69">
        <w:rPr>
          <w:rFonts w:ascii="Tahoma" w:eastAsia="Tahoma" w:hAnsi="Tahoma" w:cs="Tahoma"/>
          <w:color w:val="CC9900"/>
          <w:sz w:val="21"/>
          <w:szCs w:val="21"/>
        </w:rPr>
        <w:t>onemocnění j</w:t>
      </w:r>
      <w:r w:rsidR="00587D69">
        <w:rPr>
          <w:rFonts w:ascii="Tahoma" w:eastAsia="Tahoma" w:hAnsi="Tahoma" w:cs="Tahoma"/>
          <w:color w:val="CC9900"/>
          <w:sz w:val="21"/>
          <w:szCs w:val="21"/>
        </w:rPr>
        <w:t>a</w:t>
      </w:r>
      <w:r w:rsidR="00587D69" w:rsidRPr="00587D69">
        <w:rPr>
          <w:rFonts w:ascii="Tahoma" w:eastAsia="Tahoma" w:hAnsi="Tahoma" w:cs="Tahoma"/>
          <w:color w:val="CC9900"/>
          <w:sz w:val="21"/>
          <w:szCs w:val="21"/>
        </w:rPr>
        <w:t>t</w:t>
      </w:r>
      <w:r w:rsidR="00587D69">
        <w:rPr>
          <w:rFonts w:ascii="Tahoma" w:eastAsia="Tahoma" w:hAnsi="Tahoma" w:cs="Tahoma"/>
          <w:color w:val="CC9900"/>
          <w:sz w:val="21"/>
          <w:szCs w:val="21"/>
        </w:rPr>
        <w:t>e</w:t>
      </w:r>
      <w:r w:rsidR="00587D69" w:rsidRPr="00587D69">
        <w:rPr>
          <w:rFonts w:ascii="Tahoma" w:eastAsia="Tahoma" w:hAnsi="Tahoma" w:cs="Tahoma"/>
          <w:color w:val="CC9900"/>
          <w:sz w:val="21"/>
          <w:szCs w:val="21"/>
        </w:rPr>
        <w:t>r, ledvin</w:t>
      </w:r>
      <w:r w:rsidR="00587D69">
        <w:rPr>
          <w:rFonts w:ascii="Tahoma" w:eastAsia="Tahoma" w:hAnsi="Tahoma" w:cs="Tahoma"/>
          <w:color w:val="CC9900"/>
          <w:sz w:val="21"/>
          <w:szCs w:val="21"/>
        </w:rPr>
        <w:t xml:space="preserve"> nebo</w:t>
      </w:r>
      <w:r w:rsidR="00587D69" w:rsidRPr="00587D69">
        <w:rPr>
          <w:rFonts w:ascii="Tahoma" w:eastAsia="Tahoma" w:hAnsi="Tahoma" w:cs="Tahoma"/>
          <w:color w:val="CC9900"/>
          <w:sz w:val="21"/>
          <w:szCs w:val="21"/>
        </w:rPr>
        <w:t xml:space="preserve"> štítn</w:t>
      </w:r>
      <w:r w:rsidR="00587D69">
        <w:rPr>
          <w:rFonts w:ascii="Tahoma" w:eastAsia="Tahoma" w:hAnsi="Tahoma" w:cs="Tahoma"/>
          <w:color w:val="CC9900"/>
          <w:sz w:val="21"/>
          <w:szCs w:val="21"/>
        </w:rPr>
        <w:t>é</w:t>
      </w:r>
      <w:r w:rsidR="00587D69" w:rsidRPr="00587D69">
        <w:rPr>
          <w:rFonts w:ascii="Tahoma" w:eastAsia="Tahoma" w:hAnsi="Tahoma" w:cs="Tahoma"/>
          <w:color w:val="CC9900"/>
          <w:sz w:val="21"/>
          <w:szCs w:val="21"/>
        </w:rPr>
        <w:t xml:space="preserve"> žláz</w:t>
      </w:r>
      <w:r w:rsidR="00587D69">
        <w:rPr>
          <w:rFonts w:ascii="Tahoma" w:eastAsia="Tahoma" w:hAnsi="Tahoma" w:cs="Tahoma"/>
          <w:color w:val="CC9900"/>
          <w:sz w:val="21"/>
          <w:szCs w:val="21"/>
        </w:rPr>
        <w:t>y,</w:t>
      </w:r>
      <w:r w:rsidR="00DC2C93" w:rsidRPr="00D52C68">
        <w:rPr>
          <w:rFonts w:ascii="Tahoma" w:eastAsia="Tahoma" w:hAnsi="Tahoma" w:cs="Tahoma"/>
          <w:color w:val="CC9900"/>
          <w:sz w:val="21"/>
          <w:szCs w:val="21"/>
        </w:rPr>
        <w:t xml:space="preserve">“ </w:t>
      </w:r>
      <w:r>
        <w:rPr>
          <w:rFonts w:ascii="Tahoma" w:eastAsia="Tahoma" w:hAnsi="Tahoma" w:cs="Tahoma"/>
          <w:bCs/>
          <w:sz w:val="21"/>
          <w:szCs w:val="21"/>
        </w:rPr>
        <w:t>popsal</w:t>
      </w:r>
      <w:r w:rsidR="00DC2C93">
        <w:rPr>
          <w:rFonts w:ascii="Tahoma" w:eastAsia="Tahoma" w:hAnsi="Tahoma" w:cs="Tahoma"/>
          <w:bCs/>
          <w:sz w:val="21"/>
          <w:szCs w:val="21"/>
        </w:rPr>
        <w:t xml:space="preserve"> </w:t>
      </w:r>
      <w:r w:rsidRPr="000C1098">
        <w:rPr>
          <w:rFonts w:ascii="Tahoma" w:eastAsia="Tahoma" w:hAnsi="Tahoma" w:cs="Tahoma"/>
          <w:bCs/>
          <w:sz w:val="21"/>
          <w:szCs w:val="21"/>
        </w:rPr>
        <w:t>Boris Jegorov</w:t>
      </w:r>
      <w:r w:rsidR="00DC2C93">
        <w:rPr>
          <w:rFonts w:ascii="Tahoma" w:eastAsia="Tahoma" w:hAnsi="Tahoma" w:cs="Tahoma"/>
          <w:bCs/>
          <w:sz w:val="21"/>
          <w:szCs w:val="21"/>
        </w:rPr>
        <w:t xml:space="preserve">, </w:t>
      </w:r>
      <w:r>
        <w:rPr>
          <w:rFonts w:ascii="Tahoma" w:eastAsia="Tahoma" w:hAnsi="Tahoma" w:cs="Tahoma"/>
          <w:bCs/>
          <w:sz w:val="21"/>
          <w:szCs w:val="21"/>
        </w:rPr>
        <w:t>plastický chirurg</w:t>
      </w:r>
      <w:r w:rsidR="00DC2C93">
        <w:rPr>
          <w:rFonts w:ascii="Tahoma" w:eastAsia="Tahoma" w:hAnsi="Tahoma" w:cs="Tahoma"/>
          <w:bCs/>
          <w:sz w:val="21"/>
          <w:szCs w:val="21"/>
        </w:rPr>
        <w:t xml:space="preserve"> Medicom Clinic.</w:t>
      </w:r>
    </w:p>
    <w:p w14:paraId="005326E4" w14:textId="5A64C821" w:rsidR="00587D69" w:rsidRPr="00587D69" w:rsidRDefault="00587D69" w:rsidP="00DC2C93">
      <w:pPr>
        <w:jc w:val="both"/>
        <w:rPr>
          <w:rFonts w:ascii="Tahoma" w:eastAsia="Tahoma" w:hAnsi="Tahoma" w:cs="Tahoma"/>
          <w:sz w:val="21"/>
          <w:szCs w:val="21"/>
        </w:rPr>
      </w:pPr>
      <w:r w:rsidRPr="00587D69">
        <w:rPr>
          <w:rFonts w:ascii="Tahoma" w:eastAsia="Tahoma" w:hAnsi="Tahoma" w:cs="Tahoma"/>
          <w:sz w:val="21"/>
          <w:szCs w:val="21"/>
        </w:rPr>
        <w:t>Muži ve vyšším věku se potýkají častěji s pseudogynekomastií způsobenou poklesem testosteronu</w:t>
      </w:r>
      <w:r>
        <w:rPr>
          <w:rFonts w:ascii="Tahoma" w:eastAsia="Tahoma" w:hAnsi="Tahoma" w:cs="Tahoma"/>
          <w:sz w:val="21"/>
          <w:szCs w:val="21"/>
        </w:rPr>
        <w:t>, obezitou</w:t>
      </w:r>
      <w:r w:rsidRPr="00587D69">
        <w:rPr>
          <w:rFonts w:ascii="Tahoma" w:eastAsia="Tahoma" w:hAnsi="Tahoma" w:cs="Tahoma"/>
          <w:sz w:val="21"/>
          <w:szCs w:val="21"/>
        </w:rPr>
        <w:t xml:space="preserve"> a</w:t>
      </w:r>
      <w:r>
        <w:rPr>
          <w:rFonts w:ascii="Tahoma" w:eastAsia="Tahoma" w:hAnsi="Tahoma" w:cs="Tahoma"/>
          <w:sz w:val="21"/>
          <w:szCs w:val="21"/>
        </w:rPr>
        <w:t xml:space="preserve"> následným</w:t>
      </w:r>
      <w:r w:rsidRPr="00587D69">
        <w:rPr>
          <w:rFonts w:ascii="Tahoma" w:eastAsia="Tahoma" w:hAnsi="Tahoma" w:cs="Tahoma"/>
          <w:sz w:val="21"/>
          <w:szCs w:val="21"/>
        </w:rPr>
        <w:t xml:space="preserve"> ukládáním tuku v oblasti prsou.</w:t>
      </w:r>
      <w:r w:rsidRPr="00DC2C93">
        <w:rPr>
          <w:rFonts w:ascii="Tahoma" w:eastAsia="Tahoma" w:hAnsi="Tahoma" w:cs="Tahoma"/>
          <w:sz w:val="21"/>
          <w:szCs w:val="21"/>
        </w:rPr>
        <w:t xml:space="preserve"> </w:t>
      </w:r>
      <w:r>
        <w:rPr>
          <w:rFonts w:ascii="Tahoma" w:eastAsia="Tahoma" w:hAnsi="Tahoma" w:cs="Tahoma"/>
          <w:color w:val="CC9900"/>
          <w:sz w:val="21"/>
          <w:szCs w:val="21"/>
        </w:rPr>
        <w:t>„</w:t>
      </w:r>
      <w:r w:rsidRPr="000C1098">
        <w:rPr>
          <w:rFonts w:ascii="Tahoma" w:eastAsia="Tahoma" w:hAnsi="Tahoma" w:cs="Tahoma"/>
          <w:color w:val="CC9900"/>
          <w:sz w:val="21"/>
          <w:szCs w:val="21"/>
        </w:rPr>
        <w:t xml:space="preserve">Pravá gynekomastie se projevuje tuhým uzlíkem za dvorcem a bradavkou, který může být bolestivý. Pokud má pacient podezření na gynekomastii, měl by navštívit plastického chirurga nebo endokrinologa. Je důležité provést sonografické vyšetření, aby se vyloučila závažnější onemocnění, například rakovina prsu, která je </w:t>
      </w:r>
      <w:r>
        <w:rPr>
          <w:rFonts w:ascii="Tahoma" w:eastAsia="Tahoma" w:hAnsi="Tahoma" w:cs="Tahoma"/>
          <w:color w:val="CC9900"/>
          <w:sz w:val="21"/>
          <w:szCs w:val="21"/>
        </w:rPr>
        <w:t xml:space="preserve">u mužů sice </w:t>
      </w:r>
      <w:r w:rsidRPr="000C1098">
        <w:rPr>
          <w:rFonts w:ascii="Tahoma" w:eastAsia="Tahoma" w:hAnsi="Tahoma" w:cs="Tahoma"/>
          <w:color w:val="CC9900"/>
          <w:sz w:val="21"/>
          <w:szCs w:val="21"/>
        </w:rPr>
        <w:t xml:space="preserve">vzácná, </w:t>
      </w:r>
      <w:r>
        <w:rPr>
          <w:rFonts w:ascii="Tahoma" w:eastAsia="Tahoma" w:hAnsi="Tahoma" w:cs="Tahoma"/>
          <w:color w:val="CC9900"/>
          <w:sz w:val="21"/>
          <w:szCs w:val="21"/>
        </w:rPr>
        <w:t>není ale vyloučená. G</w:t>
      </w:r>
      <w:r w:rsidRPr="00587D69">
        <w:rPr>
          <w:rFonts w:ascii="Tahoma" w:eastAsia="Tahoma" w:hAnsi="Tahoma" w:cs="Tahoma"/>
          <w:color w:val="CC9900"/>
          <w:sz w:val="21"/>
          <w:szCs w:val="21"/>
        </w:rPr>
        <w:t>ynekomasti</w:t>
      </w:r>
      <w:r w:rsidR="00B43254">
        <w:rPr>
          <w:rFonts w:ascii="Tahoma" w:eastAsia="Tahoma" w:hAnsi="Tahoma" w:cs="Tahoma"/>
          <w:color w:val="CC9900"/>
          <w:sz w:val="21"/>
          <w:szCs w:val="21"/>
        </w:rPr>
        <w:t>e</w:t>
      </w:r>
      <w:r w:rsidRPr="00587D69">
        <w:rPr>
          <w:rFonts w:ascii="Tahoma" w:eastAsia="Tahoma" w:hAnsi="Tahoma" w:cs="Tahoma"/>
          <w:color w:val="CC9900"/>
          <w:sz w:val="21"/>
          <w:szCs w:val="21"/>
        </w:rPr>
        <w:t xml:space="preserve"> </w:t>
      </w:r>
      <w:r>
        <w:rPr>
          <w:rFonts w:ascii="Tahoma" w:eastAsia="Tahoma" w:hAnsi="Tahoma" w:cs="Tahoma"/>
          <w:color w:val="CC9900"/>
          <w:sz w:val="21"/>
          <w:szCs w:val="21"/>
        </w:rPr>
        <w:t>a</w:t>
      </w:r>
      <w:r w:rsidRPr="00587D69">
        <w:rPr>
          <w:rFonts w:ascii="Tahoma" w:eastAsia="Tahoma" w:hAnsi="Tahoma" w:cs="Tahoma"/>
          <w:color w:val="CC9900"/>
          <w:sz w:val="21"/>
          <w:szCs w:val="21"/>
        </w:rPr>
        <w:t>utomaticky</w:t>
      </w:r>
      <w:r>
        <w:rPr>
          <w:rFonts w:ascii="Tahoma" w:eastAsia="Tahoma" w:hAnsi="Tahoma" w:cs="Tahoma"/>
          <w:color w:val="CC9900"/>
          <w:sz w:val="21"/>
          <w:szCs w:val="21"/>
        </w:rPr>
        <w:t xml:space="preserve"> nepředstavuje</w:t>
      </w:r>
      <w:r w:rsidRPr="00587D69">
        <w:rPr>
          <w:rFonts w:ascii="Tahoma" w:eastAsia="Tahoma" w:hAnsi="Tahoma" w:cs="Tahoma"/>
          <w:color w:val="CC9900"/>
          <w:sz w:val="21"/>
          <w:szCs w:val="21"/>
        </w:rPr>
        <w:t xml:space="preserve"> vyšší riziko</w:t>
      </w:r>
      <w:r>
        <w:rPr>
          <w:rFonts w:ascii="Tahoma" w:eastAsia="Tahoma" w:hAnsi="Tahoma" w:cs="Tahoma"/>
          <w:color w:val="CC9900"/>
          <w:sz w:val="21"/>
          <w:szCs w:val="21"/>
        </w:rPr>
        <w:t xml:space="preserve"> vzniku rakoviny prsu</w:t>
      </w:r>
      <w:r w:rsidRPr="00587D69">
        <w:rPr>
          <w:rFonts w:ascii="Tahoma" w:eastAsia="Tahoma" w:hAnsi="Tahoma" w:cs="Tahoma"/>
          <w:color w:val="CC9900"/>
          <w:sz w:val="21"/>
          <w:szCs w:val="21"/>
        </w:rPr>
        <w:t>,</w:t>
      </w:r>
      <w:r>
        <w:rPr>
          <w:rFonts w:ascii="Tahoma" w:eastAsia="Tahoma" w:hAnsi="Tahoma" w:cs="Tahoma"/>
          <w:color w:val="CC9900"/>
          <w:sz w:val="21"/>
          <w:szCs w:val="21"/>
        </w:rPr>
        <w:t xml:space="preserve"> </w:t>
      </w:r>
      <w:r w:rsidRPr="00587D69">
        <w:rPr>
          <w:rFonts w:ascii="Tahoma" w:eastAsia="Tahoma" w:hAnsi="Tahoma" w:cs="Tahoma"/>
          <w:color w:val="CC9900"/>
          <w:sz w:val="21"/>
          <w:szCs w:val="21"/>
        </w:rPr>
        <w:t xml:space="preserve">v určitých případech </w:t>
      </w:r>
      <w:r>
        <w:rPr>
          <w:rFonts w:ascii="Tahoma" w:eastAsia="Tahoma" w:hAnsi="Tahoma" w:cs="Tahoma"/>
          <w:color w:val="CC9900"/>
          <w:sz w:val="21"/>
          <w:szCs w:val="21"/>
        </w:rPr>
        <w:t xml:space="preserve">ale </w:t>
      </w:r>
      <w:r w:rsidRPr="00587D69">
        <w:rPr>
          <w:rFonts w:ascii="Tahoma" w:eastAsia="Tahoma" w:hAnsi="Tahoma" w:cs="Tahoma"/>
          <w:color w:val="CC9900"/>
          <w:sz w:val="21"/>
          <w:szCs w:val="21"/>
        </w:rPr>
        <w:t xml:space="preserve">může být rizikovým faktorem. </w:t>
      </w:r>
      <w:r>
        <w:rPr>
          <w:rFonts w:ascii="Tahoma" w:eastAsia="Tahoma" w:hAnsi="Tahoma" w:cs="Tahoma"/>
          <w:color w:val="CC9900"/>
          <w:sz w:val="21"/>
          <w:szCs w:val="21"/>
        </w:rPr>
        <w:t>P</w:t>
      </w:r>
      <w:r w:rsidRPr="00587D69">
        <w:rPr>
          <w:rFonts w:ascii="Tahoma" w:eastAsia="Tahoma" w:hAnsi="Tahoma" w:cs="Tahoma"/>
          <w:color w:val="CC9900"/>
          <w:sz w:val="21"/>
          <w:szCs w:val="21"/>
        </w:rPr>
        <w:t>okud je dlouhodobá, jednostranná nebo doprovázená dalšími příznaky</w:t>
      </w:r>
      <w:r w:rsidR="00E30542">
        <w:rPr>
          <w:rFonts w:ascii="Tahoma" w:eastAsia="Tahoma" w:hAnsi="Tahoma" w:cs="Tahoma"/>
          <w:color w:val="CC9900"/>
          <w:sz w:val="21"/>
          <w:szCs w:val="21"/>
        </w:rPr>
        <w:t>,</w:t>
      </w:r>
      <w:r w:rsidRPr="00587D69">
        <w:rPr>
          <w:rFonts w:ascii="Tahoma" w:eastAsia="Tahoma" w:hAnsi="Tahoma" w:cs="Tahoma"/>
          <w:color w:val="CC9900"/>
          <w:sz w:val="21"/>
          <w:szCs w:val="21"/>
        </w:rPr>
        <w:t xml:space="preserve"> </w:t>
      </w:r>
      <w:r>
        <w:rPr>
          <w:rFonts w:ascii="Tahoma" w:eastAsia="Tahoma" w:hAnsi="Tahoma" w:cs="Tahoma"/>
          <w:color w:val="CC9900"/>
          <w:sz w:val="21"/>
          <w:szCs w:val="21"/>
        </w:rPr>
        <w:t xml:space="preserve">jako je </w:t>
      </w:r>
      <w:r w:rsidRPr="00587D69">
        <w:rPr>
          <w:rFonts w:ascii="Tahoma" w:eastAsia="Tahoma" w:hAnsi="Tahoma" w:cs="Tahoma"/>
          <w:color w:val="CC9900"/>
          <w:sz w:val="21"/>
          <w:szCs w:val="21"/>
        </w:rPr>
        <w:t>např</w:t>
      </w:r>
      <w:r>
        <w:rPr>
          <w:rFonts w:ascii="Tahoma" w:eastAsia="Tahoma" w:hAnsi="Tahoma" w:cs="Tahoma"/>
          <w:color w:val="CC9900"/>
          <w:sz w:val="21"/>
          <w:szCs w:val="21"/>
        </w:rPr>
        <w:t>íklad</w:t>
      </w:r>
      <w:r w:rsidRPr="00587D69">
        <w:rPr>
          <w:rFonts w:ascii="Tahoma" w:eastAsia="Tahoma" w:hAnsi="Tahoma" w:cs="Tahoma"/>
          <w:color w:val="CC9900"/>
          <w:sz w:val="21"/>
          <w:szCs w:val="21"/>
        </w:rPr>
        <w:t xml:space="preserve"> bulka, výtok z</w:t>
      </w:r>
      <w:r>
        <w:rPr>
          <w:rFonts w:ascii="Tahoma" w:eastAsia="Tahoma" w:hAnsi="Tahoma" w:cs="Tahoma"/>
          <w:color w:val="CC9900"/>
          <w:sz w:val="21"/>
          <w:szCs w:val="21"/>
        </w:rPr>
        <w:t> </w:t>
      </w:r>
      <w:r w:rsidRPr="00587D69">
        <w:rPr>
          <w:rFonts w:ascii="Tahoma" w:eastAsia="Tahoma" w:hAnsi="Tahoma" w:cs="Tahoma"/>
          <w:color w:val="CC9900"/>
          <w:sz w:val="21"/>
          <w:szCs w:val="21"/>
        </w:rPr>
        <w:t>bradavky</w:t>
      </w:r>
      <w:r>
        <w:rPr>
          <w:rFonts w:ascii="Tahoma" w:eastAsia="Tahoma" w:hAnsi="Tahoma" w:cs="Tahoma"/>
          <w:color w:val="CC9900"/>
          <w:sz w:val="21"/>
          <w:szCs w:val="21"/>
        </w:rPr>
        <w:t xml:space="preserve"> či </w:t>
      </w:r>
      <w:r w:rsidRPr="00587D69">
        <w:rPr>
          <w:rFonts w:ascii="Tahoma" w:eastAsia="Tahoma" w:hAnsi="Tahoma" w:cs="Tahoma"/>
          <w:color w:val="CC9900"/>
          <w:sz w:val="21"/>
          <w:szCs w:val="21"/>
        </w:rPr>
        <w:t xml:space="preserve">bolest, </w:t>
      </w:r>
      <w:r>
        <w:rPr>
          <w:rFonts w:ascii="Tahoma" w:eastAsia="Tahoma" w:hAnsi="Tahoma" w:cs="Tahoma"/>
          <w:color w:val="CC9900"/>
          <w:sz w:val="21"/>
          <w:szCs w:val="21"/>
        </w:rPr>
        <w:t xml:space="preserve">je důležité navštívit lékaře co nejdříve,“ </w:t>
      </w:r>
      <w:r>
        <w:rPr>
          <w:rFonts w:ascii="Tahoma" w:eastAsia="Tahoma" w:hAnsi="Tahoma" w:cs="Tahoma"/>
          <w:sz w:val="21"/>
          <w:szCs w:val="21"/>
        </w:rPr>
        <w:t xml:space="preserve">upozornil </w:t>
      </w:r>
      <w:r w:rsidRPr="000C1098">
        <w:rPr>
          <w:rFonts w:ascii="Tahoma" w:eastAsia="Tahoma" w:hAnsi="Tahoma" w:cs="Tahoma"/>
          <w:bCs/>
          <w:sz w:val="21"/>
          <w:szCs w:val="21"/>
        </w:rPr>
        <w:t>Boris Jegorov</w:t>
      </w:r>
      <w:r>
        <w:rPr>
          <w:rFonts w:ascii="Tahoma" w:eastAsia="Tahoma" w:hAnsi="Tahoma" w:cs="Tahoma"/>
          <w:bCs/>
          <w:sz w:val="21"/>
          <w:szCs w:val="21"/>
        </w:rPr>
        <w:t>.</w:t>
      </w:r>
    </w:p>
    <w:p w14:paraId="62418E5F" w14:textId="4D68C3DF" w:rsidR="00EE5D6D" w:rsidRPr="00D52C68" w:rsidRDefault="000C1098" w:rsidP="00DC2C93">
      <w:pPr>
        <w:jc w:val="both"/>
        <w:rPr>
          <w:rFonts w:ascii="Tahoma" w:eastAsia="Tahoma" w:hAnsi="Tahoma" w:cs="Tahoma"/>
          <w:bCs/>
          <w:sz w:val="21"/>
          <w:szCs w:val="21"/>
        </w:rPr>
      </w:pPr>
      <w:r w:rsidRPr="000C1098">
        <w:rPr>
          <w:rFonts w:ascii="Tahoma" w:eastAsia="Tahoma" w:hAnsi="Tahoma" w:cs="Tahoma"/>
          <w:bCs/>
          <w:sz w:val="21"/>
          <w:szCs w:val="21"/>
        </w:rPr>
        <w:t xml:space="preserve">Pro mnoho </w:t>
      </w:r>
      <w:r>
        <w:rPr>
          <w:rFonts w:ascii="Tahoma" w:eastAsia="Tahoma" w:hAnsi="Tahoma" w:cs="Tahoma"/>
          <w:bCs/>
          <w:sz w:val="21"/>
          <w:szCs w:val="21"/>
        </w:rPr>
        <w:t xml:space="preserve">dospělých </w:t>
      </w:r>
      <w:r w:rsidRPr="000C1098">
        <w:rPr>
          <w:rFonts w:ascii="Tahoma" w:eastAsia="Tahoma" w:hAnsi="Tahoma" w:cs="Tahoma"/>
          <w:bCs/>
          <w:sz w:val="21"/>
          <w:szCs w:val="21"/>
        </w:rPr>
        <w:t>mužů představuje</w:t>
      </w:r>
      <w:r>
        <w:rPr>
          <w:rFonts w:ascii="Tahoma" w:eastAsia="Tahoma" w:hAnsi="Tahoma" w:cs="Tahoma"/>
          <w:bCs/>
          <w:sz w:val="21"/>
          <w:szCs w:val="21"/>
        </w:rPr>
        <w:t xml:space="preserve"> zvětšení prsní žlázy</w:t>
      </w:r>
      <w:r w:rsidRPr="000C1098">
        <w:rPr>
          <w:rFonts w:ascii="Tahoma" w:eastAsia="Tahoma" w:hAnsi="Tahoma" w:cs="Tahoma"/>
          <w:bCs/>
          <w:sz w:val="21"/>
          <w:szCs w:val="21"/>
        </w:rPr>
        <w:t xml:space="preserve"> nejen estetický, ale i psychický diskomfort, který může ovlivnit kvalitu jejich života</w:t>
      </w:r>
      <w:r w:rsidR="00EE5D6D" w:rsidRPr="00EE5D6D">
        <w:rPr>
          <w:rFonts w:ascii="Tahoma" w:eastAsia="Tahoma" w:hAnsi="Tahoma" w:cs="Tahoma"/>
          <w:bCs/>
          <w:sz w:val="21"/>
          <w:szCs w:val="21"/>
        </w:rPr>
        <w:t>.</w:t>
      </w:r>
      <w:r>
        <w:rPr>
          <w:rFonts w:ascii="Tahoma" w:eastAsia="Tahoma" w:hAnsi="Tahoma" w:cs="Tahoma"/>
          <w:bCs/>
          <w:sz w:val="21"/>
          <w:szCs w:val="21"/>
        </w:rPr>
        <w:t xml:space="preserve"> Problém </w:t>
      </w:r>
      <w:r w:rsidR="002E4B98">
        <w:rPr>
          <w:rFonts w:ascii="Tahoma" w:eastAsia="Tahoma" w:hAnsi="Tahoma" w:cs="Tahoma"/>
          <w:bCs/>
          <w:sz w:val="21"/>
          <w:szCs w:val="21"/>
        </w:rPr>
        <w:t xml:space="preserve">pak </w:t>
      </w:r>
      <w:r>
        <w:rPr>
          <w:rFonts w:ascii="Tahoma" w:eastAsia="Tahoma" w:hAnsi="Tahoma" w:cs="Tahoma"/>
          <w:bCs/>
          <w:sz w:val="21"/>
          <w:szCs w:val="21"/>
        </w:rPr>
        <w:t>řeší plastickou operací.</w:t>
      </w:r>
      <w:r w:rsidR="00EE5D6D">
        <w:rPr>
          <w:rFonts w:ascii="Tahoma" w:eastAsia="Tahoma" w:hAnsi="Tahoma" w:cs="Tahoma"/>
          <w:bCs/>
          <w:sz w:val="21"/>
          <w:szCs w:val="21"/>
        </w:rPr>
        <w:t xml:space="preserve"> </w:t>
      </w:r>
      <w:r w:rsidR="00EE5D6D">
        <w:rPr>
          <w:rFonts w:ascii="Tahoma" w:eastAsia="Tahoma" w:hAnsi="Tahoma" w:cs="Tahoma"/>
          <w:color w:val="CC9900"/>
          <w:sz w:val="21"/>
          <w:szCs w:val="21"/>
        </w:rPr>
        <w:t>„</w:t>
      </w:r>
      <w:r w:rsidRPr="000C1098">
        <w:rPr>
          <w:rFonts w:ascii="Tahoma" w:eastAsia="Tahoma" w:hAnsi="Tahoma" w:cs="Tahoma"/>
          <w:color w:val="CC9900"/>
          <w:sz w:val="21"/>
          <w:szCs w:val="21"/>
        </w:rPr>
        <w:t xml:space="preserve">Nejčastěji gynekomastii řeší dvě věkové skupiny – ve věku </w:t>
      </w:r>
      <w:r>
        <w:rPr>
          <w:rFonts w:ascii="Tahoma" w:eastAsia="Tahoma" w:hAnsi="Tahoma" w:cs="Tahoma"/>
          <w:color w:val="CC9900"/>
          <w:sz w:val="21"/>
          <w:szCs w:val="21"/>
        </w:rPr>
        <w:t xml:space="preserve">mezi </w:t>
      </w:r>
      <w:r w:rsidRPr="000C1098">
        <w:rPr>
          <w:rFonts w:ascii="Tahoma" w:eastAsia="Tahoma" w:hAnsi="Tahoma" w:cs="Tahoma"/>
          <w:color w:val="CC9900"/>
          <w:sz w:val="21"/>
          <w:szCs w:val="21"/>
        </w:rPr>
        <w:t>20</w:t>
      </w:r>
      <w:r>
        <w:rPr>
          <w:rFonts w:ascii="Tahoma" w:eastAsia="Tahoma" w:hAnsi="Tahoma" w:cs="Tahoma"/>
          <w:color w:val="CC9900"/>
          <w:sz w:val="21"/>
          <w:szCs w:val="21"/>
        </w:rPr>
        <w:t xml:space="preserve"> a </w:t>
      </w:r>
      <w:r w:rsidRPr="000C1098">
        <w:rPr>
          <w:rFonts w:ascii="Tahoma" w:eastAsia="Tahoma" w:hAnsi="Tahoma" w:cs="Tahoma"/>
          <w:color w:val="CC9900"/>
          <w:sz w:val="21"/>
          <w:szCs w:val="21"/>
        </w:rPr>
        <w:t>35 let</w:t>
      </w:r>
      <w:r>
        <w:rPr>
          <w:rFonts w:ascii="Tahoma" w:eastAsia="Tahoma" w:hAnsi="Tahoma" w:cs="Tahoma"/>
          <w:color w:val="CC9900"/>
          <w:sz w:val="21"/>
          <w:szCs w:val="21"/>
        </w:rPr>
        <w:t>y</w:t>
      </w:r>
      <w:r w:rsidRPr="000C1098">
        <w:rPr>
          <w:rFonts w:ascii="Tahoma" w:eastAsia="Tahoma" w:hAnsi="Tahoma" w:cs="Tahoma"/>
          <w:color w:val="CC9900"/>
          <w:sz w:val="21"/>
          <w:szCs w:val="21"/>
        </w:rPr>
        <w:t xml:space="preserve"> a později </w:t>
      </w:r>
      <w:r w:rsidR="002E4B98">
        <w:rPr>
          <w:rFonts w:ascii="Tahoma" w:eastAsia="Tahoma" w:hAnsi="Tahoma" w:cs="Tahoma"/>
          <w:color w:val="CC9900"/>
          <w:sz w:val="21"/>
          <w:szCs w:val="21"/>
        </w:rPr>
        <w:t xml:space="preserve">muži </w:t>
      </w:r>
      <w:r w:rsidRPr="000C1098">
        <w:rPr>
          <w:rFonts w:ascii="Tahoma" w:eastAsia="Tahoma" w:hAnsi="Tahoma" w:cs="Tahoma"/>
          <w:color w:val="CC9900"/>
          <w:sz w:val="21"/>
          <w:szCs w:val="21"/>
        </w:rPr>
        <w:t>nad 50 let. Mladí, často sportovci, kteří dbají na svůj vzhled a jejich hrudník jim způsobuje především estetický diskomfort při cvičení nebo v létě. Muži ve vyšším věku se pak potýkají častěji s pseudogynekomastií způsobenou poklesem testosteronu a ukládáním tuku v oblasti prsou</w:t>
      </w:r>
      <w:r>
        <w:rPr>
          <w:rFonts w:ascii="Tahoma" w:eastAsia="Tahoma" w:hAnsi="Tahoma" w:cs="Tahoma"/>
          <w:color w:val="CC9900"/>
          <w:sz w:val="21"/>
          <w:szCs w:val="21"/>
        </w:rPr>
        <w:t xml:space="preserve">. </w:t>
      </w:r>
      <w:r w:rsidRPr="000C1098">
        <w:rPr>
          <w:rFonts w:ascii="Tahoma" w:eastAsia="Tahoma" w:hAnsi="Tahoma" w:cs="Tahoma"/>
          <w:color w:val="CC9900"/>
          <w:sz w:val="21"/>
          <w:szCs w:val="21"/>
        </w:rPr>
        <w:t>Gynekomasti</w:t>
      </w:r>
      <w:r>
        <w:rPr>
          <w:rFonts w:ascii="Tahoma" w:eastAsia="Tahoma" w:hAnsi="Tahoma" w:cs="Tahoma"/>
          <w:color w:val="CC9900"/>
          <w:sz w:val="21"/>
          <w:szCs w:val="21"/>
        </w:rPr>
        <w:t>i</w:t>
      </w:r>
      <w:r w:rsidRPr="000C1098">
        <w:rPr>
          <w:rFonts w:ascii="Tahoma" w:eastAsia="Tahoma" w:hAnsi="Tahoma" w:cs="Tahoma"/>
          <w:color w:val="CC9900"/>
          <w:sz w:val="21"/>
          <w:szCs w:val="21"/>
        </w:rPr>
        <w:t xml:space="preserve"> lze léčit několika způsoby podle stádia, ve kterém se nachází. V rané fázi, která trvá přibližně </w:t>
      </w:r>
      <w:r w:rsidR="00E73CE9">
        <w:rPr>
          <w:rFonts w:ascii="Tahoma" w:eastAsia="Tahoma" w:hAnsi="Tahoma" w:cs="Tahoma"/>
          <w:color w:val="CC9900"/>
          <w:sz w:val="21"/>
          <w:szCs w:val="21"/>
        </w:rPr>
        <w:t>8</w:t>
      </w:r>
      <w:r w:rsidR="00E73CE9" w:rsidRPr="000C1098">
        <w:rPr>
          <w:rFonts w:ascii="Tahoma" w:eastAsia="Tahoma" w:hAnsi="Tahoma" w:cs="Tahoma"/>
          <w:color w:val="CC9900"/>
          <w:sz w:val="21"/>
          <w:szCs w:val="21"/>
        </w:rPr>
        <w:t xml:space="preserve"> </w:t>
      </w:r>
      <w:r w:rsidRPr="000C1098">
        <w:rPr>
          <w:rFonts w:ascii="Tahoma" w:eastAsia="Tahoma" w:hAnsi="Tahoma" w:cs="Tahoma"/>
          <w:color w:val="CC9900"/>
          <w:sz w:val="21"/>
          <w:szCs w:val="21"/>
        </w:rPr>
        <w:t xml:space="preserve">až 12 </w:t>
      </w:r>
      <w:r w:rsidRPr="000C1098">
        <w:rPr>
          <w:rFonts w:ascii="Tahoma" w:eastAsia="Tahoma" w:hAnsi="Tahoma" w:cs="Tahoma"/>
          <w:color w:val="CC9900"/>
          <w:sz w:val="21"/>
          <w:szCs w:val="21"/>
        </w:rPr>
        <w:lastRenderedPageBreak/>
        <w:t xml:space="preserve">měsíců, lze její stav zlepšit léky, které doporučí endokrinolog. Chronická fáze, která trvá déle než </w:t>
      </w:r>
      <w:r>
        <w:rPr>
          <w:rFonts w:ascii="Tahoma" w:eastAsia="Tahoma" w:hAnsi="Tahoma" w:cs="Tahoma"/>
          <w:color w:val="CC9900"/>
          <w:sz w:val="21"/>
          <w:szCs w:val="21"/>
        </w:rPr>
        <w:t>jeden rok</w:t>
      </w:r>
      <w:r w:rsidRPr="000C1098">
        <w:rPr>
          <w:rFonts w:ascii="Tahoma" w:eastAsia="Tahoma" w:hAnsi="Tahoma" w:cs="Tahoma"/>
          <w:color w:val="CC9900"/>
          <w:sz w:val="21"/>
          <w:szCs w:val="21"/>
        </w:rPr>
        <w:t>, je charakteristická tuhou žlázou, která již nereaguje na farmakologickou léčbu. V tomto případě je jediným řešením chirurgický zákrok</w:t>
      </w:r>
      <w:r w:rsidR="00EE5D6D">
        <w:rPr>
          <w:rFonts w:ascii="Tahoma" w:eastAsia="Tahoma" w:hAnsi="Tahoma" w:cs="Tahoma"/>
          <w:color w:val="CC9900"/>
          <w:sz w:val="21"/>
          <w:szCs w:val="21"/>
        </w:rPr>
        <w:t xml:space="preserve">,“ </w:t>
      </w:r>
      <w:r>
        <w:rPr>
          <w:rFonts w:ascii="Tahoma" w:eastAsia="Tahoma" w:hAnsi="Tahoma" w:cs="Tahoma"/>
          <w:bCs/>
          <w:sz w:val="21"/>
          <w:szCs w:val="21"/>
        </w:rPr>
        <w:t xml:space="preserve">řekl </w:t>
      </w:r>
      <w:r w:rsidRPr="000C1098">
        <w:rPr>
          <w:rFonts w:ascii="Tahoma" w:eastAsia="Tahoma" w:hAnsi="Tahoma" w:cs="Tahoma"/>
          <w:bCs/>
          <w:sz w:val="21"/>
          <w:szCs w:val="21"/>
        </w:rPr>
        <w:t>Boris Jegorov</w:t>
      </w:r>
      <w:r w:rsidR="00EE5D6D">
        <w:rPr>
          <w:rFonts w:ascii="Tahoma" w:eastAsia="Tahoma" w:hAnsi="Tahoma" w:cs="Tahoma"/>
          <w:bCs/>
          <w:sz w:val="21"/>
          <w:szCs w:val="21"/>
        </w:rPr>
        <w:t>.</w:t>
      </w:r>
    </w:p>
    <w:p w14:paraId="21AA35DF" w14:textId="65E7967F" w:rsidR="000422E1" w:rsidRPr="00E20606" w:rsidRDefault="00587D69" w:rsidP="00E20606">
      <w:pPr>
        <w:jc w:val="both"/>
        <w:rPr>
          <w:rFonts w:ascii="Tahoma" w:eastAsia="Tahoma" w:hAnsi="Tahoma" w:cs="Tahoma"/>
          <w:color w:val="CC9900"/>
          <w:sz w:val="21"/>
          <w:szCs w:val="21"/>
        </w:rPr>
      </w:pPr>
      <w:r w:rsidRPr="00587D69">
        <w:rPr>
          <w:rFonts w:ascii="Tahoma" w:eastAsia="Tahoma" w:hAnsi="Tahoma" w:cs="Tahoma"/>
          <w:sz w:val="21"/>
          <w:szCs w:val="21"/>
        </w:rPr>
        <w:t>Odstranění gynekomastie je poměrně častý zákrok a počet mužů, kteří ho podstupují</w:t>
      </w:r>
      <w:r w:rsidR="001F1DDD">
        <w:rPr>
          <w:rFonts w:ascii="Tahoma" w:eastAsia="Tahoma" w:hAnsi="Tahoma" w:cs="Tahoma"/>
          <w:sz w:val="21"/>
          <w:szCs w:val="21"/>
        </w:rPr>
        <w:t>,</w:t>
      </w:r>
      <w:r w:rsidRPr="00587D69">
        <w:rPr>
          <w:rFonts w:ascii="Tahoma" w:eastAsia="Tahoma" w:hAnsi="Tahoma" w:cs="Tahoma"/>
          <w:sz w:val="21"/>
          <w:szCs w:val="21"/>
        </w:rPr>
        <w:t xml:space="preserve"> stále roste</w:t>
      </w:r>
      <w:r w:rsidR="000422E1" w:rsidRPr="00587D69">
        <w:rPr>
          <w:rFonts w:ascii="Tahoma" w:eastAsia="Tahoma" w:hAnsi="Tahoma" w:cs="Tahoma"/>
          <w:sz w:val="21"/>
          <w:szCs w:val="21"/>
        </w:rPr>
        <w:t>.</w:t>
      </w:r>
      <w:r w:rsidRPr="00587D69">
        <w:rPr>
          <w:rFonts w:ascii="Tahoma" w:eastAsia="Tahoma" w:hAnsi="Tahoma" w:cs="Tahoma"/>
          <w:sz w:val="21"/>
          <w:szCs w:val="21"/>
        </w:rPr>
        <w:t xml:space="preserve"> Podle údajů Mezinárodní společnosti estetické plastické chirurgie se celosvětově ročně provede přes 40 tisíc operací gynekomastie.</w:t>
      </w:r>
      <w:r w:rsidR="000422E1">
        <w:rPr>
          <w:rFonts w:ascii="Tahoma" w:eastAsia="Tahoma" w:hAnsi="Tahoma" w:cs="Tahoma"/>
          <w:sz w:val="21"/>
          <w:szCs w:val="21"/>
        </w:rPr>
        <w:t xml:space="preserve"> </w:t>
      </w:r>
      <w:r w:rsidR="000422E1">
        <w:rPr>
          <w:rFonts w:ascii="Tahoma" w:eastAsia="Tahoma" w:hAnsi="Tahoma" w:cs="Tahoma"/>
          <w:color w:val="CC9900"/>
          <w:sz w:val="21"/>
          <w:szCs w:val="21"/>
        </w:rPr>
        <w:t>„</w:t>
      </w:r>
      <w:r w:rsidRPr="00587D69">
        <w:rPr>
          <w:rFonts w:ascii="Tahoma" w:eastAsia="Tahoma" w:hAnsi="Tahoma" w:cs="Tahoma"/>
          <w:color w:val="CC9900"/>
          <w:sz w:val="21"/>
          <w:szCs w:val="21"/>
        </w:rPr>
        <w:t>Chirurgické odstranění zahrnuje různé metody, často kombinac</w:t>
      </w:r>
      <w:r>
        <w:rPr>
          <w:rFonts w:ascii="Tahoma" w:eastAsia="Tahoma" w:hAnsi="Tahoma" w:cs="Tahoma"/>
          <w:color w:val="CC9900"/>
          <w:sz w:val="21"/>
          <w:szCs w:val="21"/>
        </w:rPr>
        <w:t>i</w:t>
      </w:r>
      <w:r w:rsidRPr="00587D69">
        <w:rPr>
          <w:rFonts w:ascii="Tahoma" w:eastAsia="Tahoma" w:hAnsi="Tahoma" w:cs="Tahoma"/>
          <w:color w:val="CC9900"/>
          <w:sz w:val="21"/>
          <w:szCs w:val="21"/>
        </w:rPr>
        <w:t xml:space="preserve"> liposukce a chirurgického řezu. Délka operace je přibližně 1,5 hodiny. Operace má dlouhodobý efekt, pokud pacient dodržuje zdravý životní styl. Existuje jen nízké riziko recidivy, například při užívání anabolických steroidů, prodělání závažného onemocnění nebo výrazné změně tělesné hmotnosti</w:t>
      </w:r>
      <w:r w:rsidR="000422E1" w:rsidRPr="00D52C68">
        <w:rPr>
          <w:rFonts w:ascii="Tahoma" w:eastAsia="Tahoma" w:hAnsi="Tahoma" w:cs="Tahoma"/>
          <w:color w:val="CC9900"/>
          <w:sz w:val="21"/>
          <w:szCs w:val="21"/>
        </w:rPr>
        <w:t xml:space="preserve">,“ </w:t>
      </w:r>
      <w:r>
        <w:rPr>
          <w:rFonts w:ascii="Tahoma" w:eastAsia="Tahoma" w:hAnsi="Tahoma" w:cs="Tahoma"/>
          <w:bCs/>
          <w:sz w:val="21"/>
          <w:szCs w:val="21"/>
        </w:rPr>
        <w:t>uzavřel</w:t>
      </w:r>
      <w:r w:rsidR="00E20606">
        <w:rPr>
          <w:rFonts w:ascii="Tahoma" w:eastAsia="Tahoma" w:hAnsi="Tahoma" w:cs="Tahoma"/>
          <w:bCs/>
          <w:sz w:val="21"/>
          <w:szCs w:val="21"/>
        </w:rPr>
        <w:t xml:space="preserve"> </w:t>
      </w:r>
      <w:r w:rsidRPr="000C1098">
        <w:rPr>
          <w:rFonts w:ascii="Tahoma" w:eastAsia="Tahoma" w:hAnsi="Tahoma" w:cs="Tahoma"/>
          <w:bCs/>
          <w:sz w:val="21"/>
          <w:szCs w:val="21"/>
        </w:rPr>
        <w:t>Boris Jegorov</w:t>
      </w:r>
      <w:r w:rsidR="00E20606">
        <w:rPr>
          <w:rFonts w:ascii="Tahoma" w:eastAsia="Tahoma" w:hAnsi="Tahoma" w:cs="Tahoma"/>
          <w:bCs/>
          <w:sz w:val="21"/>
          <w:szCs w:val="21"/>
        </w:rPr>
        <w:t>.</w:t>
      </w:r>
    </w:p>
    <w:p w14:paraId="3F99697E" w14:textId="15B017A6" w:rsidR="00570659" w:rsidRPr="00B43254" w:rsidRDefault="00B43254" w:rsidP="00570659">
      <w:pPr>
        <w:jc w:val="both"/>
        <w:rPr>
          <w:rFonts w:ascii="Tahoma" w:eastAsia="Tahoma" w:hAnsi="Tahoma" w:cs="Tahoma"/>
          <w:b/>
          <w:bCs/>
          <w:sz w:val="28"/>
          <w:szCs w:val="28"/>
        </w:rPr>
      </w:pPr>
      <w:r w:rsidRPr="00B43254">
        <w:rPr>
          <w:rFonts w:ascii="Tahoma" w:eastAsia="Tahoma" w:hAnsi="Tahoma" w:cs="Tahoma"/>
          <w:b/>
          <w:bCs/>
          <w:sz w:val="28"/>
          <w:szCs w:val="28"/>
        </w:rPr>
        <w:t>V</w:t>
      </w:r>
      <w:r w:rsidR="00570659" w:rsidRPr="00B43254">
        <w:rPr>
          <w:rFonts w:ascii="Tahoma" w:eastAsia="Tahoma" w:hAnsi="Tahoma" w:cs="Tahoma"/>
          <w:b/>
          <w:bCs/>
          <w:sz w:val="28"/>
          <w:szCs w:val="28"/>
        </w:rPr>
        <w:t>ýskyt gynekomastie podle věku</w:t>
      </w:r>
    </w:p>
    <w:p w14:paraId="3285AE4E" w14:textId="2442BEF4" w:rsidR="00570659" w:rsidRPr="00570659" w:rsidRDefault="00570659" w:rsidP="00570659">
      <w:pPr>
        <w:jc w:val="both"/>
        <w:rPr>
          <w:rFonts w:ascii="Tahoma" w:eastAsia="Tahoma" w:hAnsi="Tahoma" w:cs="Tahoma"/>
          <w:b/>
          <w:bCs/>
          <w:sz w:val="21"/>
          <w:szCs w:val="21"/>
        </w:rPr>
      </w:pPr>
      <w:r w:rsidRPr="00570659">
        <w:rPr>
          <w:rFonts w:ascii="Tahoma" w:eastAsia="Tahoma" w:hAnsi="Tahoma" w:cs="Tahoma"/>
          <w:b/>
          <w:bCs/>
          <w:sz w:val="21"/>
          <w:szCs w:val="21"/>
        </w:rPr>
        <w:t>Novorozenci</w:t>
      </w:r>
      <w:r>
        <w:rPr>
          <w:rFonts w:ascii="Tahoma" w:eastAsia="Tahoma" w:hAnsi="Tahoma" w:cs="Tahoma"/>
          <w:b/>
          <w:bCs/>
          <w:sz w:val="21"/>
          <w:szCs w:val="21"/>
        </w:rPr>
        <w:t xml:space="preserve"> – </w:t>
      </w:r>
      <w:r w:rsidRPr="00570659">
        <w:rPr>
          <w:rFonts w:ascii="Tahoma" w:eastAsia="Tahoma" w:hAnsi="Tahoma" w:cs="Tahoma"/>
          <w:sz w:val="21"/>
          <w:szCs w:val="21"/>
        </w:rPr>
        <w:t>Vzniká vlive</w:t>
      </w:r>
      <w:r>
        <w:rPr>
          <w:rFonts w:ascii="Tahoma" w:eastAsia="Tahoma" w:hAnsi="Tahoma" w:cs="Tahoma"/>
          <w:sz w:val="21"/>
          <w:szCs w:val="21"/>
        </w:rPr>
        <w:t>m</w:t>
      </w:r>
      <w:r w:rsidRPr="00570659">
        <w:rPr>
          <w:rFonts w:ascii="Tahoma" w:eastAsia="Tahoma" w:hAnsi="Tahoma" w:cs="Tahoma"/>
          <w:sz w:val="21"/>
          <w:szCs w:val="21"/>
        </w:rPr>
        <w:t xml:space="preserve"> mateřských hormonů – většinou zmizí během několika týdnů</w:t>
      </w:r>
      <w:r>
        <w:rPr>
          <w:rFonts w:ascii="Tahoma" w:eastAsia="Tahoma" w:hAnsi="Tahoma" w:cs="Tahoma"/>
          <w:sz w:val="21"/>
          <w:szCs w:val="21"/>
        </w:rPr>
        <w:t xml:space="preserve">. Objevuje se </w:t>
      </w:r>
      <w:r w:rsidRPr="00570659">
        <w:rPr>
          <w:rFonts w:ascii="Tahoma" w:eastAsia="Tahoma" w:hAnsi="Tahoma" w:cs="Tahoma"/>
          <w:sz w:val="21"/>
          <w:szCs w:val="21"/>
        </w:rPr>
        <w:t xml:space="preserve">až </w:t>
      </w:r>
      <w:r>
        <w:rPr>
          <w:rFonts w:ascii="Tahoma" w:eastAsia="Tahoma" w:hAnsi="Tahoma" w:cs="Tahoma"/>
          <w:sz w:val="21"/>
          <w:szCs w:val="21"/>
        </w:rPr>
        <w:t xml:space="preserve">u </w:t>
      </w:r>
      <w:r w:rsidRPr="00570659">
        <w:rPr>
          <w:rFonts w:ascii="Tahoma" w:eastAsia="Tahoma" w:hAnsi="Tahoma" w:cs="Tahoma"/>
          <w:sz w:val="21"/>
          <w:szCs w:val="21"/>
        </w:rPr>
        <w:t xml:space="preserve">60–90 </w:t>
      </w:r>
      <w:r>
        <w:rPr>
          <w:rFonts w:ascii="Tahoma" w:eastAsia="Tahoma" w:hAnsi="Tahoma" w:cs="Tahoma"/>
          <w:sz w:val="21"/>
          <w:szCs w:val="21"/>
        </w:rPr>
        <w:t>procent novorozených chlapců.</w:t>
      </w:r>
    </w:p>
    <w:p w14:paraId="4D7CBD7A" w14:textId="13747759" w:rsidR="00570659" w:rsidRPr="00570659" w:rsidRDefault="00570659" w:rsidP="00570659">
      <w:pPr>
        <w:jc w:val="both"/>
        <w:rPr>
          <w:rFonts w:ascii="Tahoma" w:eastAsia="Tahoma" w:hAnsi="Tahoma" w:cs="Tahoma"/>
          <w:b/>
          <w:bCs/>
          <w:sz w:val="21"/>
          <w:szCs w:val="21"/>
        </w:rPr>
      </w:pPr>
      <w:r w:rsidRPr="00570659">
        <w:rPr>
          <w:rFonts w:ascii="Tahoma" w:eastAsia="Tahoma" w:hAnsi="Tahoma" w:cs="Tahoma"/>
          <w:b/>
          <w:bCs/>
          <w:sz w:val="21"/>
          <w:szCs w:val="21"/>
        </w:rPr>
        <w:t>Puberta (12–16 let)</w:t>
      </w:r>
      <w:r w:rsidRPr="00570659">
        <w:rPr>
          <w:rFonts w:ascii="Tahoma" w:eastAsia="Tahoma" w:hAnsi="Tahoma" w:cs="Tahoma"/>
          <w:b/>
          <w:bCs/>
          <w:sz w:val="21"/>
          <w:szCs w:val="21"/>
        </w:rPr>
        <w:tab/>
      </w:r>
      <w:r>
        <w:rPr>
          <w:rFonts w:ascii="Tahoma" w:eastAsia="Tahoma" w:hAnsi="Tahoma" w:cs="Tahoma"/>
          <w:b/>
          <w:bCs/>
          <w:sz w:val="21"/>
          <w:szCs w:val="21"/>
        </w:rPr>
        <w:t xml:space="preserve">- </w:t>
      </w:r>
      <w:r w:rsidRPr="00570659">
        <w:rPr>
          <w:rFonts w:ascii="Tahoma" w:eastAsia="Tahoma" w:hAnsi="Tahoma" w:cs="Tahoma"/>
          <w:sz w:val="21"/>
          <w:szCs w:val="21"/>
        </w:rPr>
        <w:t>Důvodem vzniku jsou hormonální výkyvy – obvykle ustoupí do jednoho až dvou let</w:t>
      </w:r>
      <w:r>
        <w:rPr>
          <w:rFonts w:ascii="Tahoma" w:eastAsia="Tahoma" w:hAnsi="Tahoma" w:cs="Tahoma"/>
          <w:sz w:val="21"/>
          <w:szCs w:val="21"/>
        </w:rPr>
        <w:t xml:space="preserve">. Během puberty se s ní potýká </w:t>
      </w:r>
      <w:r w:rsidRPr="00570659">
        <w:rPr>
          <w:rFonts w:ascii="Tahoma" w:eastAsia="Tahoma" w:hAnsi="Tahoma" w:cs="Tahoma"/>
          <w:sz w:val="21"/>
          <w:szCs w:val="21"/>
        </w:rPr>
        <w:t xml:space="preserve">až 50–60 </w:t>
      </w:r>
      <w:r>
        <w:rPr>
          <w:rFonts w:ascii="Tahoma" w:eastAsia="Tahoma" w:hAnsi="Tahoma" w:cs="Tahoma"/>
          <w:sz w:val="21"/>
          <w:szCs w:val="21"/>
        </w:rPr>
        <w:t>procent chlapců.</w:t>
      </w:r>
    </w:p>
    <w:p w14:paraId="457DD4AD" w14:textId="209469F1" w:rsidR="00570659" w:rsidRPr="00570659" w:rsidRDefault="00570659" w:rsidP="00570659">
      <w:pPr>
        <w:jc w:val="both"/>
        <w:rPr>
          <w:rFonts w:ascii="Tahoma" w:eastAsia="Tahoma" w:hAnsi="Tahoma" w:cs="Tahoma"/>
          <w:sz w:val="21"/>
          <w:szCs w:val="21"/>
        </w:rPr>
      </w:pPr>
      <w:r w:rsidRPr="00570659">
        <w:rPr>
          <w:rFonts w:ascii="Tahoma" w:eastAsia="Tahoma" w:hAnsi="Tahoma" w:cs="Tahoma"/>
          <w:b/>
          <w:bCs/>
          <w:sz w:val="21"/>
          <w:szCs w:val="21"/>
        </w:rPr>
        <w:t>Dospělí muži (20–50 let)</w:t>
      </w:r>
      <w:r>
        <w:rPr>
          <w:rFonts w:ascii="Tahoma" w:eastAsia="Tahoma" w:hAnsi="Tahoma" w:cs="Tahoma"/>
          <w:b/>
          <w:bCs/>
          <w:sz w:val="21"/>
          <w:szCs w:val="21"/>
        </w:rPr>
        <w:t xml:space="preserve"> – </w:t>
      </w:r>
      <w:r w:rsidR="00B43254" w:rsidRPr="00B43254">
        <w:rPr>
          <w:rFonts w:ascii="Tahoma" w:eastAsia="Tahoma" w:hAnsi="Tahoma" w:cs="Tahoma"/>
          <w:sz w:val="21"/>
          <w:szCs w:val="21"/>
        </w:rPr>
        <w:t xml:space="preserve">Vzniknout může vlivem </w:t>
      </w:r>
      <w:r w:rsidR="002E4B98">
        <w:rPr>
          <w:rFonts w:ascii="Tahoma" w:eastAsia="Tahoma" w:hAnsi="Tahoma" w:cs="Tahoma"/>
          <w:sz w:val="21"/>
          <w:szCs w:val="21"/>
        </w:rPr>
        <w:t xml:space="preserve">hormonů, </w:t>
      </w:r>
      <w:r w:rsidR="00B43254" w:rsidRPr="00B43254">
        <w:rPr>
          <w:rFonts w:ascii="Tahoma" w:eastAsia="Tahoma" w:hAnsi="Tahoma" w:cs="Tahoma"/>
          <w:sz w:val="21"/>
          <w:szCs w:val="21"/>
        </w:rPr>
        <w:t>životního stylu, užíváním některých léků nebo v důsledku nadváhy.</w:t>
      </w:r>
      <w:r w:rsidR="00B43254">
        <w:rPr>
          <w:rFonts w:ascii="Tahoma" w:eastAsia="Tahoma" w:hAnsi="Tahoma" w:cs="Tahoma"/>
          <w:b/>
          <w:bCs/>
          <w:sz w:val="21"/>
          <w:szCs w:val="21"/>
        </w:rPr>
        <w:t xml:space="preserve"> </w:t>
      </w:r>
      <w:r w:rsidRPr="00570659">
        <w:rPr>
          <w:rFonts w:ascii="Tahoma" w:eastAsia="Tahoma" w:hAnsi="Tahoma" w:cs="Tahoma"/>
          <w:sz w:val="21"/>
          <w:szCs w:val="21"/>
        </w:rPr>
        <w:t>Potýká se s ní kolem 30–40 procent mužů.</w:t>
      </w:r>
    </w:p>
    <w:p w14:paraId="54B38174" w14:textId="3A187AFD" w:rsidR="00570659" w:rsidRPr="00570659" w:rsidRDefault="00570659" w:rsidP="00570659">
      <w:pPr>
        <w:pBdr>
          <w:bottom w:val="single" w:sz="4" w:space="1" w:color="auto"/>
        </w:pBdr>
        <w:jc w:val="both"/>
        <w:rPr>
          <w:rFonts w:ascii="Tahoma" w:eastAsia="Tahoma" w:hAnsi="Tahoma" w:cs="Tahoma"/>
          <w:sz w:val="21"/>
          <w:szCs w:val="21"/>
        </w:rPr>
      </w:pPr>
      <w:r w:rsidRPr="00570659">
        <w:rPr>
          <w:rFonts w:ascii="Tahoma" w:eastAsia="Tahoma" w:hAnsi="Tahoma" w:cs="Tahoma"/>
          <w:b/>
          <w:bCs/>
          <w:sz w:val="21"/>
          <w:szCs w:val="21"/>
        </w:rPr>
        <w:t xml:space="preserve">Starší muži (60+ let) - </w:t>
      </w:r>
      <w:r w:rsidRPr="00570659">
        <w:rPr>
          <w:rFonts w:ascii="Tahoma" w:eastAsia="Tahoma" w:hAnsi="Tahoma" w:cs="Tahoma"/>
          <w:sz w:val="21"/>
          <w:szCs w:val="21"/>
        </w:rPr>
        <w:t>Objevuje se v důsledku snížení testosteronu a přibývání tukové tkáně</w:t>
      </w:r>
      <w:r>
        <w:rPr>
          <w:rFonts w:ascii="Tahoma" w:eastAsia="Tahoma" w:hAnsi="Tahoma" w:cs="Tahoma"/>
          <w:sz w:val="21"/>
          <w:szCs w:val="21"/>
        </w:rPr>
        <w:t xml:space="preserve">. </w:t>
      </w:r>
      <w:r w:rsidRPr="00570659">
        <w:rPr>
          <w:rFonts w:ascii="Tahoma" w:eastAsia="Tahoma" w:hAnsi="Tahoma" w:cs="Tahoma"/>
          <w:sz w:val="21"/>
          <w:szCs w:val="21"/>
        </w:rPr>
        <w:t>Objevuje se až u 60–70 procent mužů.</w:t>
      </w:r>
      <w:r w:rsidRPr="00570659">
        <w:rPr>
          <w:rFonts w:ascii="Tahoma" w:eastAsia="Tahoma" w:hAnsi="Tahoma" w:cs="Tahoma"/>
          <w:b/>
          <w:bCs/>
          <w:sz w:val="21"/>
          <w:szCs w:val="21"/>
        </w:rPr>
        <w:t xml:space="preserve"> </w:t>
      </w:r>
    </w:p>
    <w:p w14:paraId="1B135DB6" w14:textId="30A568D5" w:rsidR="00B0682C" w:rsidRDefault="00E62105">
      <w:pPr>
        <w:jc w:val="both"/>
        <w:rPr>
          <w:rFonts w:ascii="Tahoma" w:eastAsia="Tahoma" w:hAnsi="Tahoma" w:cs="Tahoma"/>
          <w:color w:val="CC9900"/>
          <w:sz w:val="20"/>
          <w:szCs w:val="20"/>
        </w:rPr>
      </w:pPr>
      <w:r>
        <w:rPr>
          <w:rFonts w:ascii="Tahoma" w:eastAsia="Tahoma" w:hAnsi="Tahoma" w:cs="Tahoma"/>
          <w:b/>
        </w:rPr>
        <w:t>KONTAKT PRO MÉDIA:</w:t>
      </w:r>
    </w:p>
    <w:p w14:paraId="50FEBD59" w14:textId="77777777" w:rsidR="00B0682C" w:rsidRDefault="00E62105">
      <w:pPr>
        <w:jc w:val="both"/>
        <w:rPr>
          <w:rFonts w:ascii="Tahoma" w:eastAsia="Tahoma" w:hAnsi="Tahoma" w:cs="Tahoma"/>
          <w:b/>
          <w:color w:val="CC9900"/>
          <w:sz w:val="20"/>
          <w:szCs w:val="20"/>
        </w:rPr>
      </w:pPr>
      <w:r>
        <w:rPr>
          <w:rFonts w:ascii="Tahoma" w:eastAsia="Tahoma" w:hAnsi="Tahoma" w:cs="Tahoma"/>
          <w:b/>
          <w:color w:val="333333"/>
          <w:sz w:val="20"/>
          <w:szCs w:val="20"/>
        </w:rPr>
        <w:t>Mgr. Petra Ďurčíková</w:t>
      </w:r>
      <w:r>
        <w:rPr>
          <w:rFonts w:ascii="Tahoma" w:eastAsia="Tahoma" w:hAnsi="Tahoma" w:cs="Tahoma"/>
          <w:b/>
          <w:color w:val="CC9900"/>
          <w:sz w:val="20"/>
          <w:szCs w:val="20"/>
        </w:rPr>
        <w:t>_mediální konzultant</w:t>
      </w:r>
    </w:p>
    <w:p w14:paraId="57B2DBF1" w14:textId="77777777" w:rsidR="00B0682C" w:rsidRDefault="00E62105">
      <w:pPr>
        <w:rPr>
          <w:rFonts w:ascii="Tahoma" w:eastAsia="Tahoma" w:hAnsi="Tahoma" w:cs="Tahoma"/>
          <w:b/>
          <w:sz w:val="20"/>
          <w:szCs w:val="20"/>
        </w:rPr>
      </w:pPr>
      <w:r>
        <w:rPr>
          <w:rFonts w:ascii="Tahoma" w:eastAsia="Tahoma" w:hAnsi="Tahoma" w:cs="Tahoma"/>
          <w:b/>
          <w:noProof/>
          <w:sz w:val="20"/>
          <w:szCs w:val="20"/>
        </w:rPr>
        <w:drawing>
          <wp:inline distT="0" distB="0" distL="0" distR="0" wp14:anchorId="7F777045" wp14:editId="241AFE48">
            <wp:extent cx="833620" cy="132741"/>
            <wp:effectExtent l="0" t="0" r="0" b="0"/>
            <wp:docPr id="1" name="image1.png" descr="pear_media logo_fin rgb_bez okraju.jpg"/>
            <wp:cNvGraphicFramePr/>
            <a:graphic xmlns:a="http://schemas.openxmlformats.org/drawingml/2006/main">
              <a:graphicData uri="http://schemas.openxmlformats.org/drawingml/2006/picture">
                <pic:pic xmlns:pic="http://schemas.openxmlformats.org/drawingml/2006/picture">
                  <pic:nvPicPr>
                    <pic:cNvPr id="0" name="image1.png" descr="pear_media logo_fin rgb_bez okraju.jpg"/>
                    <pic:cNvPicPr preferRelativeResize="0"/>
                  </pic:nvPicPr>
                  <pic:blipFill>
                    <a:blip r:embed="rId7"/>
                    <a:srcRect/>
                    <a:stretch>
                      <a:fillRect/>
                    </a:stretch>
                  </pic:blipFill>
                  <pic:spPr>
                    <a:xfrm>
                      <a:off x="0" y="0"/>
                      <a:ext cx="833620" cy="132741"/>
                    </a:xfrm>
                    <a:prstGeom prst="rect">
                      <a:avLst/>
                    </a:prstGeom>
                    <a:ln/>
                  </pic:spPr>
                </pic:pic>
              </a:graphicData>
            </a:graphic>
          </wp:inline>
        </w:drawing>
      </w:r>
    </w:p>
    <w:p w14:paraId="03AC99E0" w14:textId="77777777" w:rsidR="00B0682C" w:rsidRDefault="00E62105">
      <w:pPr>
        <w:pBdr>
          <w:bottom w:val="single" w:sz="4" w:space="1" w:color="000000"/>
        </w:pBdr>
        <w:rPr>
          <w:rFonts w:ascii="Tahoma" w:eastAsia="Tahoma" w:hAnsi="Tahoma" w:cs="Tahoma"/>
          <w:b/>
          <w:sz w:val="20"/>
          <w:szCs w:val="20"/>
        </w:rPr>
      </w:pPr>
      <w:r>
        <w:rPr>
          <w:rFonts w:ascii="Tahoma" w:eastAsia="Tahoma" w:hAnsi="Tahoma" w:cs="Tahoma"/>
          <w:b/>
          <w:sz w:val="20"/>
          <w:szCs w:val="20"/>
        </w:rPr>
        <w:t xml:space="preserve">+420 733 643 825, </w:t>
      </w:r>
      <w:hyperlink r:id="rId8">
        <w:r w:rsidR="00B0682C">
          <w:rPr>
            <w:rFonts w:ascii="Tahoma" w:eastAsia="Tahoma" w:hAnsi="Tahoma" w:cs="Tahoma"/>
            <w:b/>
            <w:color w:val="0000FF"/>
            <w:sz w:val="20"/>
            <w:szCs w:val="20"/>
            <w:u w:val="single"/>
          </w:rPr>
          <w:t>petra@pearmedia.cz</w:t>
        </w:r>
      </w:hyperlink>
      <w:r>
        <w:rPr>
          <w:rFonts w:ascii="Tahoma" w:eastAsia="Tahoma" w:hAnsi="Tahoma" w:cs="Tahoma"/>
          <w:b/>
          <w:sz w:val="20"/>
          <w:szCs w:val="20"/>
        </w:rPr>
        <w:t xml:space="preserve">, </w:t>
      </w:r>
      <w:hyperlink r:id="rId9">
        <w:r w:rsidR="00B0682C">
          <w:rPr>
            <w:rFonts w:ascii="Tahoma" w:eastAsia="Tahoma" w:hAnsi="Tahoma" w:cs="Tahoma"/>
            <w:b/>
            <w:color w:val="0000FF"/>
            <w:sz w:val="20"/>
            <w:szCs w:val="20"/>
            <w:u w:val="single"/>
          </w:rPr>
          <w:t>pearmedia.cz</w:t>
        </w:r>
      </w:hyperlink>
      <w:r>
        <w:rPr>
          <w:rFonts w:ascii="Tahoma" w:eastAsia="Tahoma" w:hAnsi="Tahoma" w:cs="Tahoma"/>
          <w:sz w:val="20"/>
          <w:szCs w:val="20"/>
        </w:rPr>
        <w:br/>
      </w:r>
    </w:p>
    <w:p w14:paraId="0F97DA61" w14:textId="67FFF1A4" w:rsidR="00B0682C" w:rsidRDefault="00E62105">
      <w:pPr>
        <w:rPr>
          <w:rFonts w:ascii="Tahoma" w:eastAsia="Tahoma" w:hAnsi="Tahoma" w:cs="Tahoma"/>
          <w:b/>
          <w:sz w:val="17"/>
          <w:szCs w:val="17"/>
        </w:rPr>
      </w:pPr>
      <w:r>
        <w:rPr>
          <w:rFonts w:ascii="Tahoma" w:eastAsia="Tahoma" w:hAnsi="Tahoma" w:cs="Tahoma"/>
          <w:b/>
          <w:sz w:val="17"/>
          <w:szCs w:val="17"/>
        </w:rPr>
        <w:t xml:space="preserve">SOUKROMÁ KLINIKA PLASTICKÉ A ESTETICKÉ MEDICÍNY MEDICOM CLINIC, </w:t>
      </w:r>
      <w:hyperlink r:id="rId10">
        <w:r w:rsidR="00B0682C">
          <w:rPr>
            <w:rFonts w:ascii="Tahoma" w:eastAsia="Tahoma" w:hAnsi="Tahoma" w:cs="Tahoma"/>
            <w:b/>
            <w:color w:val="0563C1"/>
            <w:sz w:val="17"/>
            <w:szCs w:val="17"/>
            <w:u w:val="single"/>
          </w:rPr>
          <w:t>medicomclinic.cz</w:t>
        </w:r>
      </w:hyperlink>
      <w:r>
        <w:rPr>
          <w:rFonts w:ascii="Tahoma" w:eastAsia="Tahoma" w:hAnsi="Tahoma" w:cs="Tahoma"/>
          <w:b/>
          <w:sz w:val="17"/>
          <w:szCs w:val="17"/>
        </w:rPr>
        <w:t xml:space="preserve"> </w:t>
      </w:r>
    </w:p>
    <w:p w14:paraId="4FA170F6" w14:textId="77777777" w:rsidR="00B0682C" w:rsidRDefault="00E62105">
      <w:pPr>
        <w:jc w:val="both"/>
        <w:rPr>
          <w:rFonts w:ascii="Tahoma" w:eastAsia="Tahoma" w:hAnsi="Tahoma" w:cs="Tahoma"/>
          <w:sz w:val="17"/>
          <w:szCs w:val="17"/>
        </w:rPr>
      </w:pPr>
      <w:r>
        <w:rPr>
          <w:rFonts w:ascii="Tahoma" w:eastAsia="Tahoma" w:hAnsi="Tahoma" w:cs="Tahoma"/>
          <w:sz w:val="17"/>
          <w:szCs w:val="17"/>
        </w:rPr>
        <w:t>MEDICOM Clinic byla založena v roce 2004 a je největším soukromým pracovištěm plastické a estetické medicíny v Česku. MEDICOM Clinic tvoří tým vyhledávaných plastických a cévních chirurgů, dermatologů, zkušených anesteziologů a specialistů na spánkovou medicínu s mnohaletými zkušenostmi v oboru. Prestižní klinika je vyhlášena individuálním přístupem ke klientům a nadstandardní péčí. Lékaři každý den pomáhají ženám i mužům k tomu, aby se cítili sebevědomě, atraktivně a šťastně. Pracoviště kliniky se nachází v historickém centru Prahy, další pobočky jsou v Brně a Ústí nad Labem. Klinika je držitelem prestižních ocenění Nejdůvěryhodnější značka 2021, 2022, 2023, 2024 a Superbrands pro rok 2025.</w:t>
      </w:r>
    </w:p>
    <w:sectPr w:rsidR="00B0682C">
      <w:headerReference w:type="default" r:id="rId11"/>
      <w:footerReference w:type="default" r:id="rId12"/>
      <w:pgSz w:w="11906" w:h="16838"/>
      <w:pgMar w:top="1700"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0B942" w14:textId="77777777" w:rsidR="002E5066" w:rsidRDefault="002E5066">
      <w:pPr>
        <w:spacing w:after="0" w:line="240" w:lineRule="auto"/>
      </w:pPr>
      <w:r>
        <w:separator/>
      </w:r>
    </w:p>
  </w:endnote>
  <w:endnote w:type="continuationSeparator" w:id="0">
    <w:p w14:paraId="57667440" w14:textId="77777777" w:rsidR="002E5066" w:rsidRDefault="002E5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2CBEA" w14:textId="77777777" w:rsidR="00B0682C" w:rsidRDefault="00B0682C">
    <w:pPr>
      <w:pBdr>
        <w:top w:val="nil"/>
        <w:left w:val="nil"/>
        <w:bottom w:val="nil"/>
        <w:right w:val="nil"/>
        <w:between w:val="nil"/>
      </w:pBdr>
      <w:tabs>
        <w:tab w:val="center" w:pos="4536"/>
        <w:tab w:val="right" w:pos="9072"/>
      </w:tabs>
      <w:spacing w:after="0" w:line="240" w:lineRule="auto"/>
      <w:rPr>
        <w:color w:val="000000"/>
      </w:rPr>
    </w:pPr>
  </w:p>
  <w:p w14:paraId="2F65A2CE" w14:textId="77777777" w:rsidR="00B0682C" w:rsidRDefault="00B0682C">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20ED4" w14:textId="77777777" w:rsidR="002E5066" w:rsidRDefault="002E5066">
      <w:pPr>
        <w:spacing w:after="0" w:line="240" w:lineRule="auto"/>
      </w:pPr>
      <w:r>
        <w:separator/>
      </w:r>
    </w:p>
  </w:footnote>
  <w:footnote w:type="continuationSeparator" w:id="0">
    <w:p w14:paraId="45CE476F" w14:textId="77777777" w:rsidR="002E5066" w:rsidRDefault="002E50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EC067" w14:textId="77777777" w:rsidR="0019567B" w:rsidRDefault="00E62105">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36"/>
        <w:szCs w:val="36"/>
      </w:rPr>
    </w:pPr>
    <w:r>
      <w:rPr>
        <w:b/>
        <w:color w:val="000000"/>
        <w:sz w:val="36"/>
        <w:szCs w:val="36"/>
      </w:rPr>
      <w:tab/>
    </w:r>
    <w:r>
      <w:rPr>
        <w:b/>
        <w:color w:val="000000"/>
        <w:sz w:val="36"/>
        <w:szCs w:val="36"/>
      </w:rPr>
      <w:tab/>
    </w:r>
  </w:p>
  <w:p w14:paraId="1942E2CC" w14:textId="77777777" w:rsidR="0019567B" w:rsidRDefault="0019567B">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36"/>
        <w:szCs w:val="36"/>
      </w:rPr>
    </w:pPr>
  </w:p>
  <w:p w14:paraId="58B0E8BE" w14:textId="5D134A35" w:rsidR="00B0682C" w:rsidRDefault="0019567B">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36"/>
        <w:szCs w:val="36"/>
      </w:rPr>
    </w:pPr>
    <w:r>
      <w:rPr>
        <w:noProof/>
      </w:rPr>
      <w:drawing>
        <wp:inline distT="0" distB="0" distL="0" distR="0" wp14:anchorId="1C11C1D7" wp14:editId="70460A01">
          <wp:extent cx="2465166" cy="690246"/>
          <wp:effectExtent l="0" t="0" r="0" b="0"/>
          <wp:docPr id="2" name="image2.png" descr="Prestižní klinika plastické chirurgie | Medicom Clinic"/>
          <wp:cNvGraphicFramePr/>
          <a:graphic xmlns:a="http://schemas.openxmlformats.org/drawingml/2006/main">
            <a:graphicData uri="http://schemas.openxmlformats.org/drawingml/2006/picture">
              <pic:pic xmlns:pic="http://schemas.openxmlformats.org/drawingml/2006/picture">
                <pic:nvPicPr>
                  <pic:cNvPr id="0" name="image2.png" descr="Prestižní klinika plastické chirurgie | Medicom Clinic"/>
                  <pic:cNvPicPr preferRelativeResize="0"/>
                </pic:nvPicPr>
                <pic:blipFill>
                  <a:blip r:embed="rId1"/>
                  <a:srcRect t="35750" b="36250"/>
                  <a:stretch>
                    <a:fillRect/>
                  </a:stretch>
                </pic:blipFill>
                <pic:spPr>
                  <a:xfrm>
                    <a:off x="0" y="0"/>
                    <a:ext cx="2465166" cy="690246"/>
                  </a:xfrm>
                  <a:prstGeom prst="rect">
                    <a:avLst/>
                  </a:prstGeom>
                  <a:ln/>
                </pic:spPr>
              </pic:pic>
            </a:graphicData>
          </a:graphic>
        </wp:inline>
      </w:drawing>
    </w:r>
    <w:r>
      <w:rPr>
        <w:b/>
        <w:color w:val="000000"/>
        <w:sz w:val="36"/>
        <w:szCs w:val="36"/>
      </w:rPr>
      <w:tab/>
    </w:r>
    <w:r>
      <w:rPr>
        <w:b/>
        <w:color w:val="000000"/>
        <w:sz w:val="36"/>
        <w:szCs w:val="36"/>
      </w:rPr>
      <w:tab/>
      <w:t>TISKOVÁ ZPRÁVA</w:t>
    </w:r>
  </w:p>
  <w:p w14:paraId="7AB1E2C1" w14:textId="77777777" w:rsidR="00587D69" w:rsidRDefault="00587D69">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36"/>
        <w:szCs w:val="36"/>
      </w:rPr>
    </w:pPr>
  </w:p>
  <w:p w14:paraId="41954AD9" w14:textId="77777777" w:rsidR="00D61A51" w:rsidRDefault="00D61A51">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15DDB624" w14:textId="77777777" w:rsidR="00B0682C" w:rsidRDefault="00B0682C">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75A132E1" w14:textId="77777777" w:rsidR="00B0682C" w:rsidRDefault="00B0682C">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4429DD98" w14:textId="77777777" w:rsidR="00B0682C" w:rsidRDefault="00B0682C">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1526F3CD" w14:textId="77777777" w:rsidR="00B0682C" w:rsidRDefault="00B0682C">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1263C250" w14:textId="77777777" w:rsidR="00B0682C" w:rsidRDefault="00B0682C">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18222B71" w14:textId="77777777" w:rsidR="00B0682C" w:rsidRDefault="00B0682C">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53FC0"/>
    <w:multiLevelType w:val="multilevel"/>
    <w:tmpl w:val="D020FD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8F6C55"/>
    <w:multiLevelType w:val="hybridMultilevel"/>
    <w:tmpl w:val="3D9A8CB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894239856">
    <w:abstractNumId w:val="0"/>
    <w:lvlOverride w:ilvl="0">
      <w:lvl w:ilvl="0">
        <w:numFmt w:val="decimal"/>
        <w:lvlText w:val=""/>
        <w:lvlJc w:val="left"/>
      </w:lvl>
    </w:lvlOverride>
    <w:lvlOverride w:ilvl="1">
      <w:lvl w:ilvl="1">
        <w:start w:val="1"/>
        <w:numFmt w:val="decimal"/>
        <w:lvlText w:val=""/>
        <w:lvlJc w:val="left"/>
        <w:pPr>
          <w:tabs>
            <w:tab w:val="num" w:pos="1440"/>
          </w:tabs>
          <w:ind w:left="1440" w:hanging="360"/>
        </w:pPr>
        <w:rPr>
          <w:rFonts w:ascii="Symbol" w:hAnsi="Symbol" w:cs="Times New Roman" w:hint="default"/>
          <w:sz w:val="20"/>
        </w:rPr>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2" w16cid:durableId="15033552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82C"/>
    <w:rsid w:val="000422E1"/>
    <w:rsid w:val="000670D7"/>
    <w:rsid w:val="0009618B"/>
    <w:rsid w:val="000C1098"/>
    <w:rsid w:val="00100083"/>
    <w:rsid w:val="00101F8E"/>
    <w:rsid w:val="00120951"/>
    <w:rsid w:val="001558D5"/>
    <w:rsid w:val="00156997"/>
    <w:rsid w:val="0018230E"/>
    <w:rsid w:val="0019567B"/>
    <w:rsid w:val="001B6310"/>
    <w:rsid w:val="001C485C"/>
    <w:rsid w:val="001F1DDD"/>
    <w:rsid w:val="001F3B20"/>
    <w:rsid w:val="00252261"/>
    <w:rsid w:val="00271C4C"/>
    <w:rsid w:val="002B4D16"/>
    <w:rsid w:val="002D686F"/>
    <w:rsid w:val="002E4B98"/>
    <w:rsid w:val="002E5066"/>
    <w:rsid w:val="00320E49"/>
    <w:rsid w:val="00343E0E"/>
    <w:rsid w:val="00362477"/>
    <w:rsid w:val="00390FD7"/>
    <w:rsid w:val="0046290D"/>
    <w:rsid w:val="004A3CBF"/>
    <w:rsid w:val="004A7A3E"/>
    <w:rsid w:val="004B056E"/>
    <w:rsid w:val="004D1D61"/>
    <w:rsid w:val="00570659"/>
    <w:rsid w:val="00587D69"/>
    <w:rsid w:val="005A7C3F"/>
    <w:rsid w:val="005D68AD"/>
    <w:rsid w:val="0062716C"/>
    <w:rsid w:val="006304E6"/>
    <w:rsid w:val="00644CF0"/>
    <w:rsid w:val="00683430"/>
    <w:rsid w:val="006A63DE"/>
    <w:rsid w:val="006A7221"/>
    <w:rsid w:val="006C4246"/>
    <w:rsid w:val="006C51DA"/>
    <w:rsid w:val="00781728"/>
    <w:rsid w:val="00784208"/>
    <w:rsid w:val="007B0F79"/>
    <w:rsid w:val="007F0B29"/>
    <w:rsid w:val="008760BE"/>
    <w:rsid w:val="00895ED9"/>
    <w:rsid w:val="008B639F"/>
    <w:rsid w:val="00900860"/>
    <w:rsid w:val="00900ACD"/>
    <w:rsid w:val="00903B07"/>
    <w:rsid w:val="00963CE1"/>
    <w:rsid w:val="009F6FE9"/>
    <w:rsid w:val="00A07320"/>
    <w:rsid w:val="00A35422"/>
    <w:rsid w:val="00A568EC"/>
    <w:rsid w:val="00AC60FF"/>
    <w:rsid w:val="00B02916"/>
    <w:rsid w:val="00B0682C"/>
    <w:rsid w:val="00B43254"/>
    <w:rsid w:val="00B76FEB"/>
    <w:rsid w:val="00BA562C"/>
    <w:rsid w:val="00BC15BC"/>
    <w:rsid w:val="00C044DE"/>
    <w:rsid w:val="00C40F09"/>
    <w:rsid w:val="00C63296"/>
    <w:rsid w:val="00C9120E"/>
    <w:rsid w:val="00D03384"/>
    <w:rsid w:val="00D227C2"/>
    <w:rsid w:val="00D52C68"/>
    <w:rsid w:val="00D61A51"/>
    <w:rsid w:val="00DB18C2"/>
    <w:rsid w:val="00DC2C93"/>
    <w:rsid w:val="00DC4363"/>
    <w:rsid w:val="00E033B3"/>
    <w:rsid w:val="00E0613D"/>
    <w:rsid w:val="00E20606"/>
    <w:rsid w:val="00E30542"/>
    <w:rsid w:val="00E32EC3"/>
    <w:rsid w:val="00E62105"/>
    <w:rsid w:val="00E73CE9"/>
    <w:rsid w:val="00EA149A"/>
    <w:rsid w:val="00EC2EBF"/>
    <w:rsid w:val="00ED2E56"/>
    <w:rsid w:val="00EE1898"/>
    <w:rsid w:val="00EE5D6D"/>
    <w:rsid w:val="00F42358"/>
    <w:rsid w:val="00F9307D"/>
    <w:rsid w:val="00FE54B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F5FEB"/>
  <w15:docId w15:val="{81D70BFC-9B05-471F-9477-EB5F0A9E8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paragraph" w:styleId="Zhlav">
    <w:name w:val="header"/>
    <w:basedOn w:val="Normln"/>
    <w:link w:val="ZhlavChar"/>
    <w:uiPriority w:val="99"/>
    <w:unhideWhenUsed/>
    <w:rsid w:val="0019567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9567B"/>
  </w:style>
  <w:style w:type="paragraph" w:styleId="Zpat">
    <w:name w:val="footer"/>
    <w:basedOn w:val="Normln"/>
    <w:link w:val="ZpatChar"/>
    <w:uiPriority w:val="99"/>
    <w:unhideWhenUsed/>
    <w:rsid w:val="0019567B"/>
    <w:pPr>
      <w:tabs>
        <w:tab w:val="center" w:pos="4536"/>
        <w:tab w:val="right" w:pos="9072"/>
      </w:tabs>
      <w:spacing w:after="0" w:line="240" w:lineRule="auto"/>
    </w:pPr>
  </w:style>
  <w:style w:type="character" w:customStyle="1" w:styleId="ZpatChar">
    <w:name w:val="Zápatí Char"/>
    <w:basedOn w:val="Standardnpsmoodstavce"/>
    <w:link w:val="Zpat"/>
    <w:uiPriority w:val="99"/>
    <w:rsid w:val="0019567B"/>
  </w:style>
  <w:style w:type="paragraph" w:styleId="Revize">
    <w:name w:val="Revision"/>
    <w:hidden/>
    <w:uiPriority w:val="99"/>
    <w:semiHidden/>
    <w:rsid w:val="00A568EC"/>
    <w:pPr>
      <w:spacing w:after="0" w:line="240" w:lineRule="auto"/>
    </w:pPr>
  </w:style>
  <w:style w:type="character" w:styleId="Odkaznakoment">
    <w:name w:val="annotation reference"/>
    <w:basedOn w:val="Standardnpsmoodstavce"/>
    <w:uiPriority w:val="99"/>
    <w:semiHidden/>
    <w:unhideWhenUsed/>
    <w:rsid w:val="00A568EC"/>
    <w:rPr>
      <w:sz w:val="16"/>
      <w:szCs w:val="16"/>
    </w:rPr>
  </w:style>
  <w:style w:type="paragraph" w:styleId="Textkomente">
    <w:name w:val="annotation text"/>
    <w:basedOn w:val="Normln"/>
    <w:link w:val="TextkomenteChar"/>
    <w:uiPriority w:val="99"/>
    <w:semiHidden/>
    <w:unhideWhenUsed/>
    <w:rsid w:val="00A568EC"/>
    <w:pPr>
      <w:spacing w:line="240" w:lineRule="auto"/>
    </w:pPr>
    <w:rPr>
      <w:sz w:val="20"/>
      <w:szCs w:val="20"/>
    </w:rPr>
  </w:style>
  <w:style w:type="character" w:customStyle="1" w:styleId="TextkomenteChar">
    <w:name w:val="Text komentáře Char"/>
    <w:basedOn w:val="Standardnpsmoodstavce"/>
    <w:link w:val="Textkomente"/>
    <w:uiPriority w:val="99"/>
    <w:semiHidden/>
    <w:rsid w:val="00A568EC"/>
    <w:rPr>
      <w:sz w:val="20"/>
      <w:szCs w:val="20"/>
    </w:rPr>
  </w:style>
  <w:style w:type="paragraph" w:styleId="Pedmtkomente">
    <w:name w:val="annotation subject"/>
    <w:basedOn w:val="Textkomente"/>
    <w:next w:val="Textkomente"/>
    <w:link w:val="PedmtkomenteChar"/>
    <w:uiPriority w:val="99"/>
    <w:semiHidden/>
    <w:unhideWhenUsed/>
    <w:rsid w:val="00A568EC"/>
    <w:rPr>
      <w:b/>
      <w:bCs/>
    </w:rPr>
  </w:style>
  <w:style w:type="character" w:customStyle="1" w:styleId="PedmtkomenteChar">
    <w:name w:val="Předmět komentáře Char"/>
    <w:basedOn w:val="TextkomenteChar"/>
    <w:link w:val="Pedmtkomente"/>
    <w:uiPriority w:val="99"/>
    <w:semiHidden/>
    <w:rsid w:val="00A568EC"/>
    <w:rPr>
      <w:b/>
      <w:bCs/>
      <w:sz w:val="20"/>
      <w:szCs w:val="20"/>
    </w:rPr>
  </w:style>
  <w:style w:type="paragraph" w:styleId="Odstavecseseznamem">
    <w:name w:val="List Paragraph"/>
    <w:basedOn w:val="Normln"/>
    <w:uiPriority w:val="34"/>
    <w:qFormat/>
    <w:rsid w:val="005706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0736">
      <w:bodyDiv w:val="1"/>
      <w:marLeft w:val="0"/>
      <w:marRight w:val="0"/>
      <w:marTop w:val="0"/>
      <w:marBottom w:val="0"/>
      <w:divBdr>
        <w:top w:val="none" w:sz="0" w:space="0" w:color="auto"/>
        <w:left w:val="none" w:sz="0" w:space="0" w:color="auto"/>
        <w:bottom w:val="none" w:sz="0" w:space="0" w:color="auto"/>
        <w:right w:val="none" w:sz="0" w:space="0" w:color="auto"/>
      </w:divBdr>
      <w:divsChild>
        <w:div w:id="392043707">
          <w:marLeft w:val="0"/>
          <w:marRight w:val="0"/>
          <w:marTop w:val="0"/>
          <w:marBottom w:val="0"/>
          <w:divBdr>
            <w:top w:val="none" w:sz="0" w:space="0" w:color="auto"/>
            <w:left w:val="none" w:sz="0" w:space="0" w:color="auto"/>
            <w:bottom w:val="none" w:sz="0" w:space="0" w:color="auto"/>
            <w:right w:val="none" w:sz="0" w:space="0" w:color="auto"/>
          </w:divBdr>
          <w:divsChild>
            <w:div w:id="1399816138">
              <w:marLeft w:val="0"/>
              <w:marRight w:val="0"/>
              <w:marTop w:val="0"/>
              <w:marBottom w:val="0"/>
              <w:divBdr>
                <w:top w:val="none" w:sz="0" w:space="0" w:color="auto"/>
                <w:left w:val="none" w:sz="0" w:space="0" w:color="auto"/>
                <w:bottom w:val="none" w:sz="0" w:space="0" w:color="auto"/>
                <w:right w:val="none" w:sz="0" w:space="0" w:color="auto"/>
              </w:divBdr>
            </w:div>
          </w:divsChild>
        </w:div>
        <w:div w:id="1230579364">
          <w:marLeft w:val="0"/>
          <w:marRight w:val="0"/>
          <w:marTop w:val="0"/>
          <w:marBottom w:val="0"/>
          <w:divBdr>
            <w:top w:val="none" w:sz="0" w:space="0" w:color="auto"/>
            <w:left w:val="none" w:sz="0" w:space="0" w:color="auto"/>
            <w:bottom w:val="none" w:sz="0" w:space="0" w:color="auto"/>
            <w:right w:val="none" w:sz="0" w:space="0" w:color="auto"/>
          </w:divBdr>
          <w:divsChild>
            <w:div w:id="1682899883">
              <w:marLeft w:val="0"/>
              <w:marRight w:val="0"/>
              <w:marTop w:val="0"/>
              <w:marBottom w:val="0"/>
              <w:divBdr>
                <w:top w:val="none" w:sz="0" w:space="0" w:color="auto"/>
                <w:left w:val="none" w:sz="0" w:space="0" w:color="auto"/>
                <w:bottom w:val="none" w:sz="0" w:space="0" w:color="auto"/>
                <w:right w:val="none" w:sz="0" w:space="0" w:color="auto"/>
              </w:divBdr>
              <w:divsChild>
                <w:div w:id="963384721">
                  <w:blockQuote w:val="1"/>
                  <w:marLeft w:val="720"/>
                  <w:marRight w:val="720"/>
                  <w:marTop w:val="100"/>
                  <w:marBottom w:val="100"/>
                  <w:divBdr>
                    <w:top w:val="none" w:sz="0" w:space="0" w:color="auto"/>
                    <w:left w:val="single" w:sz="12" w:space="0" w:color="DA188D"/>
                    <w:bottom w:val="none" w:sz="0" w:space="0" w:color="auto"/>
                    <w:right w:val="none" w:sz="0" w:space="0" w:color="auto"/>
                  </w:divBdr>
                </w:div>
              </w:divsChild>
            </w:div>
          </w:divsChild>
        </w:div>
      </w:divsChild>
    </w:div>
    <w:div w:id="22052756">
      <w:bodyDiv w:val="1"/>
      <w:marLeft w:val="0"/>
      <w:marRight w:val="0"/>
      <w:marTop w:val="0"/>
      <w:marBottom w:val="0"/>
      <w:divBdr>
        <w:top w:val="none" w:sz="0" w:space="0" w:color="auto"/>
        <w:left w:val="none" w:sz="0" w:space="0" w:color="auto"/>
        <w:bottom w:val="none" w:sz="0" w:space="0" w:color="auto"/>
        <w:right w:val="none" w:sz="0" w:space="0" w:color="auto"/>
      </w:divBdr>
      <w:divsChild>
        <w:div w:id="1588995339">
          <w:marLeft w:val="0"/>
          <w:marRight w:val="0"/>
          <w:marTop w:val="0"/>
          <w:marBottom w:val="0"/>
          <w:divBdr>
            <w:top w:val="none" w:sz="0" w:space="0" w:color="auto"/>
            <w:left w:val="none" w:sz="0" w:space="0" w:color="auto"/>
            <w:bottom w:val="none" w:sz="0" w:space="0" w:color="auto"/>
            <w:right w:val="none" w:sz="0" w:space="0" w:color="auto"/>
          </w:divBdr>
          <w:divsChild>
            <w:div w:id="1017148450">
              <w:marLeft w:val="0"/>
              <w:marRight w:val="0"/>
              <w:marTop w:val="0"/>
              <w:marBottom w:val="0"/>
              <w:divBdr>
                <w:top w:val="none" w:sz="0" w:space="0" w:color="auto"/>
                <w:left w:val="none" w:sz="0" w:space="0" w:color="auto"/>
                <w:bottom w:val="none" w:sz="0" w:space="0" w:color="auto"/>
                <w:right w:val="none" w:sz="0" w:space="0" w:color="auto"/>
              </w:divBdr>
            </w:div>
          </w:divsChild>
        </w:div>
        <w:div w:id="811093881">
          <w:marLeft w:val="0"/>
          <w:marRight w:val="0"/>
          <w:marTop w:val="0"/>
          <w:marBottom w:val="0"/>
          <w:divBdr>
            <w:top w:val="none" w:sz="0" w:space="0" w:color="auto"/>
            <w:left w:val="none" w:sz="0" w:space="0" w:color="auto"/>
            <w:bottom w:val="none" w:sz="0" w:space="0" w:color="auto"/>
            <w:right w:val="none" w:sz="0" w:space="0" w:color="auto"/>
          </w:divBdr>
          <w:divsChild>
            <w:div w:id="657736316">
              <w:marLeft w:val="0"/>
              <w:marRight w:val="0"/>
              <w:marTop w:val="0"/>
              <w:marBottom w:val="0"/>
              <w:divBdr>
                <w:top w:val="none" w:sz="0" w:space="0" w:color="auto"/>
                <w:left w:val="none" w:sz="0" w:space="0" w:color="auto"/>
                <w:bottom w:val="none" w:sz="0" w:space="0" w:color="auto"/>
                <w:right w:val="none" w:sz="0" w:space="0" w:color="auto"/>
              </w:divBdr>
              <w:divsChild>
                <w:div w:id="393358820">
                  <w:blockQuote w:val="1"/>
                  <w:marLeft w:val="720"/>
                  <w:marRight w:val="720"/>
                  <w:marTop w:val="100"/>
                  <w:marBottom w:val="100"/>
                  <w:divBdr>
                    <w:top w:val="none" w:sz="0" w:space="0" w:color="auto"/>
                    <w:left w:val="single" w:sz="12" w:space="0" w:color="DA188D"/>
                    <w:bottom w:val="none" w:sz="0" w:space="0" w:color="auto"/>
                    <w:right w:val="none" w:sz="0" w:space="0" w:color="auto"/>
                  </w:divBdr>
                </w:div>
              </w:divsChild>
            </w:div>
          </w:divsChild>
        </w:div>
      </w:divsChild>
    </w:div>
    <w:div w:id="102502824">
      <w:bodyDiv w:val="1"/>
      <w:marLeft w:val="0"/>
      <w:marRight w:val="0"/>
      <w:marTop w:val="0"/>
      <w:marBottom w:val="0"/>
      <w:divBdr>
        <w:top w:val="none" w:sz="0" w:space="0" w:color="auto"/>
        <w:left w:val="none" w:sz="0" w:space="0" w:color="auto"/>
        <w:bottom w:val="none" w:sz="0" w:space="0" w:color="auto"/>
        <w:right w:val="none" w:sz="0" w:space="0" w:color="auto"/>
      </w:divBdr>
    </w:div>
    <w:div w:id="148255113">
      <w:bodyDiv w:val="1"/>
      <w:marLeft w:val="0"/>
      <w:marRight w:val="0"/>
      <w:marTop w:val="0"/>
      <w:marBottom w:val="0"/>
      <w:divBdr>
        <w:top w:val="none" w:sz="0" w:space="0" w:color="auto"/>
        <w:left w:val="none" w:sz="0" w:space="0" w:color="auto"/>
        <w:bottom w:val="none" w:sz="0" w:space="0" w:color="auto"/>
        <w:right w:val="none" w:sz="0" w:space="0" w:color="auto"/>
      </w:divBdr>
    </w:div>
    <w:div w:id="261840320">
      <w:bodyDiv w:val="1"/>
      <w:marLeft w:val="0"/>
      <w:marRight w:val="0"/>
      <w:marTop w:val="0"/>
      <w:marBottom w:val="0"/>
      <w:divBdr>
        <w:top w:val="none" w:sz="0" w:space="0" w:color="auto"/>
        <w:left w:val="none" w:sz="0" w:space="0" w:color="auto"/>
        <w:bottom w:val="none" w:sz="0" w:space="0" w:color="auto"/>
        <w:right w:val="none" w:sz="0" w:space="0" w:color="auto"/>
      </w:divBdr>
    </w:div>
    <w:div w:id="269509290">
      <w:bodyDiv w:val="1"/>
      <w:marLeft w:val="0"/>
      <w:marRight w:val="0"/>
      <w:marTop w:val="0"/>
      <w:marBottom w:val="0"/>
      <w:divBdr>
        <w:top w:val="none" w:sz="0" w:space="0" w:color="auto"/>
        <w:left w:val="none" w:sz="0" w:space="0" w:color="auto"/>
        <w:bottom w:val="none" w:sz="0" w:space="0" w:color="auto"/>
        <w:right w:val="none" w:sz="0" w:space="0" w:color="auto"/>
      </w:divBdr>
    </w:div>
    <w:div w:id="366872503">
      <w:bodyDiv w:val="1"/>
      <w:marLeft w:val="0"/>
      <w:marRight w:val="0"/>
      <w:marTop w:val="0"/>
      <w:marBottom w:val="0"/>
      <w:divBdr>
        <w:top w:val="none" w:sz="0" w:space="0" w:color="auto"/>
        <w:left w:val="none" w:sz="0" w:space="0" w:color="auto"/>
        <w:bottom w:val="none" w:sz="0" w:space="0" w:color="auto"/>
        <w:right w:val="none" w:sz="0" w:space="0" w:color="auto"/>
      </w:divBdr>
    </w:div>
    <w:div w:id="561135156">
      <w:bodyDiv w:val="1"/>
      <w:marLeft w:val="0"/>
      <w:marRight w:val="0"/>
      <w:marTop w:val="0"/>
      <w:marBottom w:val="0"/>
      <w:divBdr>
        <w:top w:val="none" w:sz="0" w:space="0" w:color="auto"/>
        <w:left w:val="none" w:sz="0" w:space="0" w:color="auto"/>
        <w:bottom w:val="none" w:sz="0" w:space="0" w:color="auto"/>
        <w:right w:val="none" w:sz="0" w:space="0" w:color="auto"/>
      </w:divBdr>
    </w:div>
    <w:div w:id="603270786">
      <w:bodyDiv w:val="1"/>
      <w:marLeft w:val="0"/>
      <w:marRight w:val="0"/>
      <w:marTop w:val="0"/>
      <w:marBottom w:val="0"/>
      <w:divBdr>
        <w:top w:val="none" w:sz="0" w:space="0" w:color="auto"/>
        <w:left w:val="none" w:sz="0" w:space="0" w:color="auto"/>
        <w:bottom w:val="none" w:sz="0" w:space="0" w:color="auto"/>
        <w:right w:val="none" w:sz="0" w:space="0" w:color="auto"/>
      </w:divBdr>
      <w:divsChild>
        <w:div w:id="11956049">
          <w:marLeft w:val="0"/>
          <w:marRight w:val="0"/>
          <w:marTop w:val="0"/>
          <w:marBottom w:val="0"/>
          <w:divBdr>
            <w:top w:val="none" w:sz="0" w:space="0" w:color="auto"/>
            <w:left w:val="none" w:sz="0" w:space="0" w:color="auto"/>
            <w:bottom w:val="none" w:sz="0" w:space="0" w:color="auto"/>
            <w:right w:val="none" w:sz="0" w:space="0" w:color="auto"/>
          </w:divBdr>
          <w:divsChild>
            <w:div w:id="13132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724542">
      <w:bodyDiv w:val="1"/>
      <w:marLeft w:val="0"/>
      <w:marRight w:val="0"/>
      <w:marTop w:val="0"/>
      <w:marBottom w:val="0"/>
      <w:divBdr>
        <w:top w:val="none" w:sz="0" w:space="0" w:color="auto"/>
        <w:left w:val="none" w:sz="0" w:space="0" w:color="auto"/>
        <w:bottom w:val="none" w:sz="0" w:space="0" w:color="auto"/>
        <w:right w:val="none" w:sz="0" w:space="0" w:color="auto"/>
      </w:divBdr>
    </w:div>
    <w:div w:id="1069621206">
      <w:bodyDiv w:val="1"/>
      <w:marLeft w:val="0"/>
      <w:marRight w:val="0"/>
      <w:marTop w:val="0"/>
      <w:marBottom w:val="0"/>
      <w:divBdr>
        <w:top w:val="none" w:sz="0" w:space="0" w:color="auto"/>
        <w:left w:val="none" w:sz="0" w:space="0" w:color="auto"/>
        <w:bottom w:val="none" w:sz="0" w:space="0" w:color="auto"/>
        <w:right w:val="none" w:sz="0" w:space="0" w:color="auto"/>
      </w:divBdr>
    </w:div>
    <w:div w:id="1160275324">
      <w:bodyDiv w:val="1"/>
      <w:marLeft w:val="0"/>
      <w:marRight w:val="0"/>
      <w:marTop w:val="0"/>
      <w:marBottom w:val="0"/>
      <w:divBdr>
        <w:top w:val="none" w:sz="0" w:space="0" w:color="auto"/>
        <w:left w:val="none" w:sz="0" w:space="0" w:color="auto"/>
        <w:bottom w:val="none" w:sz="0" w:space="0" w:color="auto"/>
        <w:right w:val="none" w:sz="0" w:space="0" w:color="auto"/>
      </w:divBdr>
    </w:div>
    <w:div w:id="1491679724">
      <w:bodyDiv w:val="1"/>
      <w:marLeft w:val="0"/>
      <w:marRight w:val="0"/>
      <w:marTop w:val="0"/>
      <w:marBottom w:val="0"/>
      <w:divBdr>
        <w:top w:val="none" w:sz="0" w:space="0" w:color="auto"/>
        <w:left w:val="none" w:sz="0" w:space="0" w:color="auto"/>
        <w:bottom w:val="none" w:sz="0" w:space="0" w:color="auto"/>
        <w:right w:val="none" w:sz="0" w:space="0" w:color="auto"/>
      </w:divBdr>
    </w:div>
    <w:div w:id="1607272055">
      <w:bodyDiv w:val="1"/>
      <w:marLeft w:val="0"/>
      <w:marRight w:val="0"/>
      <w:marTop w:val="0"/>
      <w:marBottom w:val="0"/>
      <w:divBdr>
        <w:top w:val="none" w:sz="0" w:space="0" w:color="auto"/>
        <w:left w:val="none" w:sz="0" w:space="0" w:color="auto"/>
        <w:bottom w:val="none" w:sz="0" w:space="0" w:color="auto"/>
        <w:right w:val="none" w:sz="0" w:space="0" w:color="auto"/>
      </w:divBdr>
      <w:divsChild>
        <w:div w:id="54553677">
          <w:marLeft w:val="0"/>
          <w:marRight w:val="0"/>
          <w:marTop w:val="0"/>
          <w:marBottom w:val="0"/>
          <w:divBdr>
            <w:top w:val="none" w:sz="0" w:space="0" w:color="auto"/>
            <w:left w:val="none" w:sz="0" w:space="0" w:color="auto"/>
            <w:bottom w:val="none" w:sz="0" w:space="0" w:color="auto"/>
            <w:right w:val="none" w:sz="0" w:space="0" w:color="auto"/>
          </w:divBdr>
          <w:divsChild>
            <w:div w:id="77617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638303">
      <w:bodyDiv w:val="1"/>
      <w:marLeft w:val="0"/>
      <w:marRight w:val="0"/>
      <w:marTop w:val="0"/>
      <w:marBottom w:val="0"/>
      <w:divBdr>
        <w:top w:val="none" w:sz="0" w:space="0" w:color="auto"/>
        <w:left w:val="none" w:sz="0" w:space="0" w:color="auto"/>
        <w:bottom w:val="none" w:sz="0" w:space="0" w:color="auto"/>
        <w:right w:val="none" w:sz="0" w:space="0" w:color="auto"/>
      </w:divBdr>
    </w:div>
    <w:div w:id="1734040700">
      <w:bodyDiv w:val="1"/>
      <w:marLeft w:val="0"/>
      <w:marRight w:val="0"/>
      <w:marTop w:val="0"/>
      <w:marBottom w:val="0"/>
      <w:divBdr>
        <w:top w:val="none" w:sz="0" w:space="0" w:color="auto"/>
        <w:left w:val="none" w:sz="0" w:space="0" w:color="auto"/>
        <w:bottom w:val="none" w:sz="0" w:space="0" w:color="auto"/>
        <w:right w:val="none" w:sz="0" w:space="0" w:color="auto"/>
      </w:divBdr>
    </w:div>
    <w:div w:id="20461706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tra@pearmedia.c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medicomclinic.cz" TargetMode="External"/><Relationship Id="rId4" Type="http://schemas.openxmlformats.org/officeDocument/2006/relationships/webSettings" Target="webSettings.xml"/><Relationship Id="rId9" Type="http://schemas.openxmlformats.org/officeDocument/2006/relationships/hyperlink" Target="http://www.pearmedia.cz"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771</Words>
  <Characters>4551</Characters>
  <Application>Microsoft Office Word</Application>
  <DocSecurity>0</DocSecurity>
  <Lines>37</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Notebook</dc:creator>
  <cp:lastModifiedBy>Petra Ďurčíková</cp:lastModifiedBy>
  <cp:revision>2</cp:revision>
  <dcterms:created xsi:type="dcterms:W3CDTF">2025-07-25T08:20:00Z</dcterms:created>
  <dcterms:modified xsi:type="dcterms:W3CDTF">2025-07-25T08:20:00Z</dcterms:modified>
</cp:coreProperties>
</file>