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58BF" w14:textId="77777777" w:rsidR="002B4213" w:rsidRPr="00F02B08" w:rsidRDefault="002B4213" w:rsidP="002B4213">
      <w:pPr>
        <w:jc w:val="center"/>
        <w:rPr>
          <w:rFonts w:ascii="Tahoma" w:hAnsi="Tahoma" w:cs="Tahoma"/>
          <w:b/>
          <w:color w:val="000000" w:themeColor="text1"/>
          <w:sz w:val="46"/>
          <w:szCs w:val="46"/>
        </w:rPr>
      </w:pPr>
      <w:r>
        <w:rPr>
          <w:rFonts w:ascii="Tahoma" w:hAnsi="Tahoma" w:cs="Tahoma"/>
          <w:b/>
          <w:color w:val="000000" w:themeColor="text1"/>
          <w:sz w:val="46"/>
          <w:szCs w:val="46"/>
        </w:rPr>
        <w:t>Ředitel Střední odborné školy Jarov: české školy patří k bezpečnějším, agresivita se ale stupňuje</w:t>
      </w:r>
    </w:p>
    <w:p w14:paraId="39F8562D" w14:textId="77777777" w:rsidR="002B4213" w:rsidRPr="00484AE7" w:rsidRDefault="002B4213" w:rsidP="002B4213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 xml:space="preserve">PRAHA,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5</w:t>
      </w:r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 xml:space="preserve">. DUBNA </w:t>
      </w:r>
      <w:proofErr w:type="gramStart"/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2022 – V</w:t>
      </w:r>
      <w:proofErr w:type="gramEnd"/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 souvislosti s vraždou pedagoga pražské michelské střední odborné školy se začalo opět diskutovat o tématu bezpečnosti na českých školách. Jsou podle ředitele jedné z největších odborných škol v Česku Miloslava Janečka čeští žáci v bezpečí?</w:t>
      </w:r>
    </w:p>
    <w:p w14:paraId="070EDE6F" w14:textId="77777777" w:rsidR="002B4213" w:rsidRPr="00484AE7" w:rsidRDefault="002B4213" w:rsidP="002B4213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Je podle vašeho názoru na českých školách obecně bezpečno?</w:t>
      </w:r>
    </w:p>
    <w:p w14:paraId="6077F2E2" w14:textId="77777777" w:rsidR="002B4213" w:rsidRDefault="002B4213" w:rsidP="002B4213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 xml:space="preserve">Ano, domnívám se, že české školy, stejně jako celá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Česká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republika, patří v porovnání se světem spíše k těm bezpečným. To ale neznamená, že čas od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času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nemůže dojít někde k nějaké tragédii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. </w:t>
      </w:r>
    </w:p>
    <w:p w14:paraId="74ADA888" w14:textId="77777777" w:rsidR="002B4213" w:rsidRPr="00484AE7" w:rsidRDefault="002B4213" w:rsidP="002B4213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Jaká bezpečnostní opatření jsou zavedena na vaší škole?</w:t>
      </w:r>
    </w:p>
    <w:p w14:paraId="452760D8" w14:textId="77777777" w:rsidR="002B4213" w:rsidRPr="00A837F2" w:rsidRDefault="002B4213" w:rsidP="002B4213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>
        <w:rPr>
          <w:rFonts w:ascii="Tahoma" w:hAnsi="Tahoma" w:cs="Tahoma"/>
          <w:bCs/>
          <w:noProof/>
          <w:color w:val="CC9900"/>
          <w:sz w:val="20"/>
          <w:szCs w:val="20"/>
        </w:rPr>
        <w:t>Z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áleží na tom, před jakým nebezpečím mají opatření chránit. Pokud máme na mysli nebezpečí zevnitř školy (tzn. od žáka, rodiče, zaměstnance apod.)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,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pokládám za nejdůležitější bezpečnostní opatření naše velice dobře pracující školní poradenské pracoviště. V naší škole působí téměř 10 let, sídlí přímo ve škole, takže odborníci jsou stále k dispozici žákům, rodičům i učitelům a mohou tak s nimi pracovat systematicky a zároveň i řešit okamžité nenadálé problémy. Nevím ale, kolik škol si toto může dovolit. Naše škola je velká, patříme v českém školství spíše ke školám „ekonomicky silným“, provoz školního poradenského pracoviště financujeme z evropských projektů, ale částečně také z vlastních zdrojů. </w:t>
      </w:r>
    </w:p>
    <w:p w14:paraId="12BB06A1" w14:textId="77777777" w:rsidR="002B4213" w:rsidRDefault="002B4213" w:rsidP="002B4213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Pokud máme na mysli opatření proti nebezpečí zvenku, máme u vstupů do vnitřních prostor školy turnikety, které umožňují vstup pouze oprávněným osobám na základě čipů. Naše škola působí ve dvou opravdu rozsáhlých areálech, takže máme i bezpečnostní agenturu, která zajišťuje nepřetržitou ostrahu. Především praktická výuka u některých našich oborů však probíhá ve venkovních prostorách, takže tam je zabezpečení obtížnější.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</w:p>
    <w:p w14:paraId="2BF9FEE5" w14:textId="77777777" w:rsidR="002B4213" w:rsidRPr="00484AE7" w:rsidRDefault="002B4213" w:rsidP="002B4213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Může se do školy „bez povšimnutí“ dostat někdo zvenčí?</w:t>
      </w:r>
    </w:p>
    <w:p w14:paraId="30B457B5" w14:textId="77777777" w:rsidR="002B4213" w:rsidRDefault="002B4213" w:rsidP="002B4213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Nemělo by se to stát, ale je třeba si uvědomit, že nejsme a ani nechceme být hermeticky uzavřeným „vězením“, takže naprosto vyloučit to nelze.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</w:p>
    <w:p w14:paraId="11957D4B" w14:textId="77777777" w:rsidR="002B4213" w:rsidRPr="00484AE7" w:rsidRDefault="002B4213" w:rsidP="002B4213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Zaznamenali jste někdy na škole napadení učitele žákem/rodičem?</w:t>
      </w:r>
    </w:p>
    <w:p w14:paraId="2EF4651D" w14:textId="77777777" w:rsidR="002B4213" w:rsidRDefault="002B4213" w:rsidP="002B4213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Ano, už jsme několik málo takových případů bohužel měli, spíše ale ve st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a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diu pokusů, které se podařilo zvládnout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. </w:t>
      </w:r>
      <w:r w:rsidRPr="004A26A7">
        <w:rPr>
          <w:rFonts w:ascii="Tahoma" w:hAnsi="Tahoma" w:cs="Tahoma"/>
          <w:bCs/>
          <w:noProof/>
          <w:color w:val="CC9900"/>
          <w:sz w:val="20"/>
          <w:szCs w:val="20"/>
        </w:rPr>
        <w:t xml:space="preserve">Většinou se jednalo o psychicky nemocného žáka. 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Jsem přesvědčen, že šlo ale o chybu v systému českého školství, takovýto žáci by se na běžných školách vůbec neměli vyskytovat. V současné době ale, pokud žák splní kritéria pro přijetí a má na přihlášce kladné vyjádření lékaře, tak ho i běžná škola musí přijmout. Navíc specializovaných pracovišť, která by se o takovéto žáky postarala, je kritický nedostatek. A běžný učitel s běžným asistentem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Pr="004A26A7">
        <w:rPr>
          <w:rFonts w:ascii="Tahoma" w:hAnsi="Tahoma" w:cs="Tahoma"/>
          <w:bCs/>
          <w:noProof/>
          <w:color w:val="CC9900"/>
          <w:sz w:val="20"/>
          <w:szCs w:val="20"/>
        </w:rPr>
        <w:t xml:space="preserve">takovéto 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žáky nejsou schopni zvládnout.</w:t>
      </w:r>
    </w:p>
    <w:p w14:paraId="70D7CC38" w14:textId="77777777" w:rsidR="002B4213" w:rsidRPr="00484AE7" w:rsidRDefault="002B4213" w:rsidP="002B4213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lastRenderedPageBreak/>
        <w:t xml:space="preserve">Nezvýšila se agresivita žáků a rodičů během doby </w:t>
      </w:r>
      <w:proofErr w:type="spellStart"/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covidové</w:t>
      </w:r>
      <w:proofErr w:type="spellEnd"/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?</w:t>
      </w:r>
    </w:p>
    <w:p w14:paraId="21C27383" w14:textId="77777777" w:rsidR="002B4213" w:rsidRDefault="002B4213" w:rsidP="002B4213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 xml:space="preserve">Slovní agresivita ať již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rodičů,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nebo žáků dlouhodobě stoupá. Osobně bych to ale nedával příliš do souvislosti s dobou covidovou, i když ta celkové situaci také rozhodně nepomohla. Za daleko větší problém pokládám vývoj ve společnosti, ve které obecně agresivita stoupá. V českém školství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Pr="004A26A7">
        <w:rPr>
          <w:rFonts w:ascii="Tahoma" w:hAnsi="Tahoma" w:cs="Tahoma"/>
          <w:bCs/>
          <w:noProof/>
          <w:color w:val="CC9900"/>
          <w:sz w:val="20"/>
          <w:szCs w:val="20"/>
        </w:rPr>
        <w:t xml:space="preserve">navíc 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 xml:space="preserve">nese svůj velký díl viny podle mého názoru v některých oblastech nezvládnutá a příliš rozsáhlá inkluze. Pod heslem inkluze se do běžných škol dostávají i žáci s velkými psychickými problémy, které pochopitelně běžný učitel ani asistent bez potřebného vzdělání nemůže zvládnout. </w:t>
      </w:r>
    </w:p>
    <w:p w14:paraId="3BD6231C" w14:textId="77777777" w:rsidR="002B4213" w:rsidRPr="00484AE7" w:rsidRDefault="002B4213" w:rsidP="002B4213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84AE7">
        <w:rPr>
          <w:rFonts w:ascii="Tahoma" w:hAnsi="Tahoma" w:cs="Tahoma"/>
          <w:b/>
          <w:color w:val="000000" w:themeColor="text1"/>
          <w:sz w:val="20"/>
          <w:szCs w:val="20"/>
        </w:rPr>
        <w:t>Jaká bezpečnostní opatření by školy mohly v budoucnu zavádět?</w:t>
      </w:r>
    </w:p>
    <w:p w14:paraId="210DBDB1" w14:textId="77777777" w:rsidR="002B4213" w:rsidRPr="00A837F2" w:rsidRDefault="002B4213" w:rsidP="002B4213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Pochopitelně vždy je co zlepšovat. Myslím, že velice důležité je zajištění psychologů a speciálních pedagogů do jednotlivých škol. Velký rozdíl je, když má škola tyto odborníky stále přímo ve škole, než když jsou „někde daleko“ v pedagogicko-psychologické poradně. Je potřeba, aby pracovali se žáky, s učiteli a rodiči přímo ve škole, znali podmínky a atmosféru školy. Tímto problémem se MŠMT již delší dobu zabývá, bohužel to trvá dost dlouho. Je potřeba, aby tyto odborníky mohly školy platit přímo z rozpočtu, aby nebyly odkázány na nejisté financování z nejrůznějších projektů. Navíc těchto odborníků je nedostatek, takže finanční prostředky musí být dostatečné, aby je motivovaly k práci ve školství.</w:t>
      </w:r>
    </w:p>
    <w:p w14:paraId="273304F2" w14:textId="77777777" w:rsidR="002B4213" w:rsidRPr="00A837F2" w:rsidRDefault="002B4213" w:rsidP="002B4213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Vstupní turnikety na čipy pro žáky a zaměstnance by měly být již samozřejmostí, pokud ještě někde nejsou, je třeba je doplnit. Školní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Pr="004A26A7">
        <w:rPr>
          <w:rFonts w:ascii="Tahoma" w:hAnsi="Tahoma" w:cs="Tahoma"/>
          <w:bCs/>
          <w:noProof/>
          <w:color w:val="CC9900"/>
          <w:sz w:val="20"/>
          <w:szCs w:val="20"/>
        </w:rPr>
        <w:t xml:space="preserve">řády </w:t>
      </w: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jsou obsáhlé, plné zákazů, co žáci nesmějí do škol nosit. Ale že bychom měli mít u vstupu rámy, které by kontrolovaly třeba kovové předměty, to nevím, zda by už nebylo přehnané. Bezpečnostní rámy ve vstupech do škol mohou být ale v budoucnu realitou.</w:t>
      </w:r>
    </w:p>
    <w:p w14:paraId="6B5182FD" w14:textId="77777777" w:rsidR="002B4213" w:rsidRDefault="002B4213" w:rsidP="002B4213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A837F2">
        <w:rPr>
          <w:rFonts w:ascii="Tahoma" w:hAnsi="Tahoma" w:cs="Tahoma"/>
          <w:bCs/>
          <w:noProof/>
          <w:color w:val="CC9900"/>
          <w:sz w:val="20"/>
          <w:szCs w:val="20"/>
        </w:rPr>
        <w:t>Možnost, že by učitelé získali statut chráněné osoby, je spíše věcí politického rozhodnutí, obávám se, že okolo toho bude ještě dlouhá diskuze. Osobně se ale spíše kloním k tomu, že by učitelé tento statut v budoucnu měli získat.</w:t>
      </w:r>
    </w:p>
    <w:p w14:paraId="311B2443" w14:textId="77777777" w:rsidR="002B4213" w:rsidRPr="005E552D" w:rsidRDefault="002B4213" w:rsidP="002B4213">
      <w:pPr>
        <w:jc w:val="both"/>
        <w:rPr>
          <w:rFonts w:ascii="Tahoma" w:hAnsi="Tahoma" w:cs="Tahoma"/>
          <w:bCs/>
          <w:noProof/>
          <w:color w:val="CC9900"/>
          <w:sz w:val="24"/>
          <w:szCs w:val="24"/>
        </w:rPr>
      </w:pPr>
      <w:r w:rsidRPr="005E552D">
        <w:rPr>
          <w:rFonts w:ascii="Tahoma" w:hAnsi="Tahoma" w:cs="Tahoma"/>
          <w:b/>
          <w:sz w:val="24"/>
          <w:szCs w:val="24"/>
        </w:rPr>
        <w:t>KONTAKT PRO MÉDIA:</w:t>
      </w:r>
    </w:p>
    <w:p w14:paraId="794AFE05" w14:textId="77777777" w:rsidR="002B4213" w:rsidRPr="0057121B" w:rsidRDefault="002B4213" w:rsidP="002B4213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14:paraId="4D00044B" w14:textId="77777777" w:rsidR="002B4213" w:rsidRPr="0057121B" w:rsidRDefault="002B4213" w:rsidP="002B421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060610A9" wp14:editId="31B9D513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1A277" w14:textId="77777777" w:rsidR="002B4213" w:rsidRDefault="002B4213" w:rsidP="002B4213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5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14:paraId="7DB27450" w14:textId="77777777" w:rsidR="002B4213" w:rsidRPr="00957E62" w:rsidRDefault="002B4213" w:rsidP="002B4213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6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14:paraId="42250D09" w14:textId="77777777" w:rsidR="002B4213" w:rsidRPr="005E552D" w:rsidRDefault="002B4213" w:rsidP="002B4213">
      <w:pPr>
        <w:jc w:val="both"/>
        <w:rPr>
          <w:rFonts w:ascii="Tahoma" w:hAnsi="Tahoma" w:cs="Tahoma"/>
          <w:b/>
          <w:sz w:val="24"/>
          <w:szCs w:val="24"/>
        </w:rPr>
      </w:pPr>
      <w:r w:rsidRPr="005E552D">
        <w:rPr>
          <w:rFonts w:ascii="Tahoma" w:hAnsi="Tahoma" w:cs="Tahoma"/>
          <w:b/>
          <w:sz w:val="24"/>
          <w:szCs w:val="24"/>
        </w:rPr>
        <w:t xml:space="preserve">STŘEDNÍ ODBORNÁ ŠKOLA JAROV, </w:t>
      </w:r>
      <w:hyperlink r:id="rId7" w:history="1">
        <w:r w:rsidRPr="005E552D">
          <w:rPr>
            <w:rStyle w:val="Hypertextovodkaz"/>
            <w:b/>
            <w:sz w:val="24"/>
            <w:szCs w:val="24"/>
          </w:rPr>
          <w:t>www.skolajarov.cz</w:t>
        </w:r>
      </w:hyperlink>
    </w:p>
    <w:p w14:paraId="10B4D03B" w14:textId="40A86EC1" w:rsidR="002B4213" w:rsidRPr="002B4213" w:rsidRDefault="002B4213" w:rsidP="002B4213">
      <w:pPr>
        <w:jc w:val="both"/>
        <w:rPr>
          <w:rFonts w:ascii="Tahoma" w:hAnsi="Tahoma" w:cs="Tahoma"/>
          <w:sz w:val="16"/>
          <w:szCs w:val="16"/>
        </w:rPr>
      </w:pPr>
      <w:r w:rsidRPr="004818A3">
        <w:rPr>
          <w:rFonts w:ascii="Tahoma" w:hAnsi="Tahoma" w:cs="Tahoma"/>
          <w:sz w:val="16"/>
          <w:szCs w:val="16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sectPr w:rsidR="002B4213" w:rsidRPr="002B4213" w:rsidSect="00B721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892D" w14:textId="77777777" w:rsidR="00FA7B31" w:rsidRDefault="002B4213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4B7C37F" wp14:editId="78D3C483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C67E61" w14:textId="77777777" w:rsidR="00FA7B31" w:rsidRDefault="002B4213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FDCA" w14:textId="77777777" w:rsidR="00ED366B" w:rsidRDefault="002B4213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0F24DF" wp14:editId="01062B4C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904875" cy="90487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7F796" w14:textId="77777777" w:rsidR="00FA7B31" w:rsidRDefault="002B4213" w:rsidP="004F235A">
    <w:pPr>
      <w:pStyle w:val="Zhlav"/>
      <w:ind w:firstLine="1416"/>
      <w:jc w:val="right"/>
      <w:rPr>
        <w:b/>
        <w:sz w:val="36"/>
        <w:szCs w:val="36"/>
      </w:rPr>
    </w:pPr>
  </w:p>
  <w:p w14:paraId="3D522117" w14:textId="77777777" w:rsidR="00746176" w:rsidRDefault="002B4213" w:rsidP="00D9707C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12CC42E7" w14:textId="77777777" w:rsidR="0038379F" w:rsidRDefault="002B4213" w:rsidP="00D9707C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 xml:space="preserve">                                </w:t>
    </w:r>
    <w:r>
      <w:rPr>
        <w:b/>
        <w:sz w:val="36"/>
        <w:szCs w:val="36"/>
      </w:rPr>
      <w:t xml:space="preserve">                      TISKOVÉ VYJÁDŘENÍ</w:t>
    </w:r>
  </w:p>
  <w:p w14:paraId="412F5FB3" w14:textId="77777777" w:rsidR="00423A8A" w:rsidRDefault="002B4213" w:rsidP="00D9707C">
    <w:pPr>
      <w:pStyle w:val="Zhlav"/>
      <w:rPr>
        <w:b/>
        <w:sz w:val="36"/>
        <w:szCs w:val="36"/>
      </w:rPr>
    </w:pPr>
  </w:p>
  <w:p w14:paraId="51773051" w14:textId="77777777" w:rsidR="00746176" w:rsidRDefault="002B4213" w:rsidP="00D9707C">
    <w:pPr>
      <w:pStyle w:val="Zhlav"/>
      <w:rPr>
        <w:b/>
        <w:sz w:val="2"/>
        <w:szCs w:val="2"/>
      </w:rPr>
    </w:pPr>
  </w:p>
  <w:p w14:paraId="6485688B" w14:textId="77777777" w:rsidR="00034364" w:rsidRDefault="002B4213" w:rsidP="00D9707C">
    <w:pPr>
      <w:pStyle w:val="Zhlav"/>
      <w:rPr>
        <w:b/>
        <w:sz w:val="2"/>
        <w:szCs w:val="2"/>
      </w:rPr>
    </w:pPr>
  </w:p>
  <w:p w14:paraId="6D088385" w14:textId="77777777" w:rsidR="00034364" w:rsidRDefault="002B4213" w:rsidP="00D9707C">
    <w:pPr>
      <w:pStyle w:val="Zhlav"/>
      <w:rPr>
        <w:b/>
        <w:sz w:val="2"/>
        <w:szCs w:val="2"/>
      </w:rPr>
    </w:pPr>
  </w:p>
  <w:p w14:paraId="7AAA7C26" w14:textId="77777777" w:rsidR="00423A8A" w:rsidRDefault="002B4213" w:rsidP="00D9707C">
    <w:pPr>
      <w:pStyle w:val="Zhlav"/>
      <w:rPr>
        <w:b/>
        <w:sz w:val="2"/>
        <w:szCs w:val="2"/>
      </w:rPr>
    </w:pPr>
  </w:p>
  <w:p w14:paraId="7969C14D" w14:textId="77777777" w:rsidR="005E552D" w:rsidRDefault="002B4213" w:rsidP="00D9707C">
    <w:pPr>
      <w:pStyle w:val="Zhlav"/>
      <w:rPr>
        <w:b/>
        <w:sz w:val="2"/>
        <w:szCs w:val="2"/>
      </w:rPr>
    </w:pPr>
  </w:p>
  <w:p w14:paraId="69299EC8" w14:textId="77777777" w:rsidR="005E552D" w:rsidRDefault="002B4213" w:rsidP="00D9707C">
    <w:pPr>
      <w:pStyle w:val="Zhlav"/>
      <w:rPr>
        <w:b/>
        <w:sz w:val="2"/>
        <w:szCs w:val="2"/>
      </w:rPr>
    </w:pPr>
  </w:p>
  <w:p w14:paraId="7CBD4993" w14:textId="77777777" w:rsidR="005E552D" w:rsidRDefault="002B4213" w:rsidP="00D9707C">
    <w:pPr>
      <w:pStyle w:val="Zhlav"/>
      <w:rPr>
        <w:b/>
        <w:sz w:val="2"/>
        <w:szCs w:val="2"/>
      </w:rPr>
    </w:pPr>
  </w:p>
  <w:p w14:paraId="04BC9454" w14:textId="77777777" w:rsidR="005E552D" w:rsidRPr="005E552D" w:rsidRDefault="002B4213" w:rsidP="00D9707C">
    <w:pPr>
      <w:pStyle w:val="Zhlav"/>
      <w:rPr>
        <w:b/>
        <w:sz w:val="2"/>
        <w:szCs w:val="2"/>
      </w:rPr>
    </w:pPr>
  </w:p>
  <w:p w14:paraId="5192FACF" w14:textId="77777777" w:rsidR="00D9707C" w:rsidRDefault="002B4213" w:rsidP="00293EAB">
    <w:pPr>
      <w:pStyle w:val="Zhlav"/>
      <w:rPr>
        <w:sz w:val="2"/>
        <w:szCs w:val="2"/>
      </w:rPr>
    </w:pPr>
  </w:p>
  <w:p w14:paraId="0EACBC0E" w14:textId="77777777" w:rsidR="00D9707C" w:rsidRDefault="002B4213" w:rsidP="00293EAB">
    <w:pPr>
      <w:pStyle w:val="Zhlav"/>
      <w:rPr>
        <w:sz w:val="2"/>
        <w:szCs w:val="2"/>
      </w:rPr>
    </w:pPr>
  </w:p>
  <w:p w14:paraId="13B72B4C" w14:textId="77777777" w:rsidR="00D9707C" w:rsidRDefault="002B4213" w:rsidP="00293EAB">
    <w:pPr>
      <w:pStyle w:val="Zhlav"/>
      <w:rPr>
        <w:sz w:val="2"/>
        <w:szCs w:val="2"/>
      </w:rPr>
    </w:pPr>
  </w:p>
  <w:p w14:paraId="7504BDA6" w14:textId="77777777" w:rsidR="00D9707C" w:rsidRPr="00D9707C" w:rsidRDefault="002B4213" w:rsidP="00293EAB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13"/>
    <w:rsid w:val="002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A373"/>
  <w15:chartTrackingRefBased/>
  <w15:docId w15:val="{345A7D20-E787-49C7-B60A-5A126F5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213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213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213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kolajar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armedi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2022-04-04T14:16:00Z</dcterms:created>
  <dcterms:modified xsi:type="dcterms:W3CDTF">2022-04-04T14:17:00Z</dcterms:modified>
</cp:coreProperties>
</file>