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2D" w:rsidRPr="004D4F12" w:rsidRDefault="00731E2D" w:rsidP="00731E2D">
      <w:pPr>
        <w:jc w:val="center"/>
        <w:rPr>
          <w:rFonts w:ascii="Tahoma" w:hAnsi="Tahoma" w:cs="Tahoma"/>
          <w:b/>
          <w:bCs/>
          <w:sz w:val="38"/>
          <w:szCs w:val="38"/>
        </w:rPr>
      </w:pPr>
      <w:r w:rsidRPr="004D4F12">
        <w:rPr>
          <w:rFonts w:ascii="Tahoma" w:hAnsi="Tahoma" w:cs="Tahoma"/>
          <w:b/>
          <w:bCs/>
          <w:sz w:val="38"/>
          <w:szCs w:val="38"/>
        </w:rPr>
        <w:t>Prognóza pro rok 2022: Velká část Čechů letos zchudne. Zachránit úspory mohou investice</w:t>
      </w:r>
    </w:p>
    <w:p w:rsidR="00731E2D" w:rsidRPr="00046B66" w:rsidRDefault="00731E2D" w:rsidP="00731E2D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PRAHA, 27</w:t>
      </w:r>
      <w:r w:rsidRPr="00046B66">
        <w:rPr>
          <w:rFonts w:ascii="Tahoma" w:eastAsia="Tahoma" w:hAnsi="Tahoma" w:cs="Tahoma"/>
          <w:b/>
          <w:sz w:val="20"/>
          <w:szCs w:val="20"/>
        </w:rPr>
        <w:t>. LEDNA 202</w:t>
      </w:r>
      <w:r>
        <w:rPr>
          <w:rFonts w:ascii="Tahoma" w:eastAsia="Tahoma" w:hAnsi="Tahoma" w:cs="Tahoma"/>
          <w:b/>
          <w:sz w:val="20"/>
          <w:szCs w:val="20"/>
        </w:rPr>
        <w:t>2</w:t>
      </w:r>
      <w:r w:rsidRPr="00046B66">
        <w:rPr>
          <w:rFonts w:ascii="Tahoma" w:eastAsia="Tahoma" w:hAnsi="Tahoma" w:cs="Tahoma"/>
          <w:b/>
          <w:sz w:val="20"/>
          <w:szCs w:val="20"/>
        </w:rPr>
        <w:t xml:space="preserve"> – </w:t>
      </w:r>
      <w:r>
        <w:rPr>
          <w:rFonts w:ascii="Tahoma" w:eastAsia="Tahoma" w:hAnsi="Tahoma" w:cs="Tahoma"/>
          <w:b/>
          <w:sz w:val="20"/>
          <w:szCs w:val="20"/>
        </w:rPr>
        <w:t>Inflace podle ekonomů v letošním roce překročí deset procent. Zdražovat budou zejména potraviny, energie a náklady spojené s bydlením</w:t>
      </w:r>
      <w:r w:rsidRPr="00046B66">
        <w:rPr>
          <w:rFonts w:ascii="Tahoma" w:eastAsia="Tahoma" w:hAnsi="Tahoma" w:cs="Tahoma"/>
          <w:b/>
          <w:sz w:val="20"/>
          <w:szCs w:val="20"/>
        </w:rPr>
        <w:t>.</w:t>
      </w:r>
      <w:r>
        <w:rPr>
          <w:rFonts w:ascii="Tahoma" w:eastAsia="Tahoma" w:hAnsi="Tahoma" w:cs="Tahoma"/>
          <w:b/>
          <w:sz w:val="20"/>
          <w:szCs w:val="20"/>
        </w:rPr>
        <w:t xml:space="preserve"> Česko se musí připravit na jeden z nejchudších roků ve své historii. Jak ochránit úspory před devalvací? Jediné účinné řešení nabízejí lidem vhodné investice.</w:t>
      </w:r>
    </w:p>
    <w:p w:rsidR="00731E2D" w:rsidRDefault="00731E2D" w:rsidP="00731E2D">
      <w:pPr>
        <w:jc w:val="both"/>
        <w:rPr>
          <w:rFonts w:ascii="Tahoma" w:eastAsia="Tahoma" w:hAnsi="Tahoma" w:cs="Tahoma"/>
          <w:sz w:val="20"/>
          <w:szCs w:val="20"/>
        </w:rPr>
      </w:pPr>
      <w:r w:rsidRPr="00A30F7D">
        <w:rPr>
          <w:rFonts w:ascii="Tahoma" w:eastAsia="Tahoma" w:hAnsi="Tahoma" w:cs="Tahoma"/>
          <w:sz w:val="20"/>
          <w:szCs w:val="20"/>
        </w:rPr>
        <w:t>Průměrná inflace se letos podle</w:t>
      </w:r>
      <w:r>
        <w:rPr>
          <w:rFonts w:ascii="Tahoma" w:eastAsia="Tahoma" w:hAnsi="Tahoma" w:cs="Tahoma"/>
          <w:sz w:val="20"/>
          <w:szCs w:val="20"/>
        </w:rPr>
        <w:t xml:space="preserve"> odhadů České bankovní asociace </w:t>
      </w:r>
      <w:r w:rsidRPr="00A30F7D">
        <w:rPr>
          <w:rFonts w:ascii="Tahoma" w:eastAsia="Tahoma" w:hAnsi="Tahoma" w:cs="Tahoma"/>
          <w:sz w:val="20"/>
          <w:szCs w:val="20"/>
        </w:rPr>
        <w:t>bude pohybovat kolem 7,5 procenta</w:t>
      </w:r>
      <w:r w:rsidRPr="00046B66"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 xml:space="preserve"> Začátkem roku by ale mohla překonat hranici deseti procent, atakuje tak historický rekord z roku 1998, kdy dosáhla 10,7 procenta. Rostou ceny a Češi začínají chudnout. Velmi nevýhodné je podle ekonomů mít v současné situaci peníze na běžných účtech.</w:t>
      </w:r>
      <w:r w:rsidRPr="00046B66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Právě běžné účty jsou ale nejčastějším místem, kam Češi své úspory ukládají, peníze na nich mají tři pětiny z nich. K</w:t>
      </w:r>
      <w:r w:rsidRPr="00F92E11">
        <w:rPr>
          <w:rFonts w:ascii="Tahoma" w:eastAsia="Tahoma" w:hAnsi="Tahoma" w:cs="Tahoma"/>
          <w:sz w:val="20"/>
          <w:szCs w:val="20"/>
        </w:rPr>
        <w:t xml:space="preserve">e konci </w:t>
      </w:r>
      <w:r>
        <w:rPr>
          <w:rFonts w:ascii="Tahoma" w:eastAsia="Tahoma" w:hAnsi="Tahoma" w:cs="Tahoma"/>
          <w:sz w:val="20"/>
          <w:szCs w:val="20"/>
        </w:rPr>
        <w:t>loňského roku měli lidé</w:t>
      </w:r>
      <w:r w:rsidRPr="00F92E11">
        <w:rPr>
          <w:rFonts w:ascii="Tahoma" w:eastAsia="Tahoma" w:hAnsi="Tahoma" w:cs="Tahoma"/>
          <w:sz w:val="20"/>
          <w:szCs w:val="20"/>
        </w:rPr>
        <w:t xml:space="preserve"> na b</w:t>
      </w:r>
      <w:r>
        <w:rPr>
          <w:rFonts w:ascii="Tahoma" w:eastAsia="Tahoma" w:hAnsi="Tahoma" w:cs="Tahoma"/>
          <w:sz w:val="20"/>
          <w:szCs w:val="20"/>
        </w:rPr>
        <w:t>ěžných účtech uloženo přes tři</w:t>
      </w:r>
      <w:r w:rsidRPr="00F92E11">
        <w:rPr>
          <w:rFonts w:ascii="Tahoma" w:eastAsia="Tahoma" w:hAnsi="Tahoma" w:cs="Tahoma"/>
          <w:sz w:val="20"/>
          <w:szCs w:val="20"/>
        </w:rPr>
        <w:t xml:space="preserve"> bilion</w:t>
      </w:r>
      <w:r>
        <w:rPr>
          <w:rFonts w:ascii="Tahoma" w:eastAsia="Tahoma" w:hAnsi="Tahoma" w:cs="Tahoma"/>
          <w:sz w:val="20"/>
          <w:szCs w:val="20"/>
        </w:rPr>
        <w:t>y</w:t>
      </w:r>
      <w:r w:rsidRPr="00F92E11">
        <w:rPr>
          <w:rFonts w:ascii="Tahoma" w:eastAsia="Tahoma" w:hAnsi="Tahoma" w:cs="Tahoma"/>
          <w:sz w:val="20"/>
          <w:szCs w:val="20"/>
        </w:rPr>
        <w:t xml:space="preserve"> korun</w:t>
      </w:r>
      <w:r w:rsidRPr="00046B66"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 xml:space="preserve"> Pokud Češi nezačnou investovat, o velkou část svých úspor přijdou.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>
        <w:rPr>
          <w:rFonts w:ascii="Tahoma" w:eastAsia="Tahoma" w:hAnsi="Tahoma" w:cs="Tahoma"/>
          <w:color w:val="CC9900"/>
          <w:sz w:val="20"/>
          <w:szCs w:val="20"/>
        </w:rPr>
        <w:t>Při inflaci sedm</w:t>
      </w:r>
      <w:r w:rsidRPr="00A30F7D">
        <w:rPr>
          <w:rFonts w:ascii="Tahoma" w:eastAsia="Tahoma" w:hAnsi="Tahoma" w:cs="Tahoma"/>
          <w:color w:val="CC9900"/>
          <w:sz w:val="20"/>
          <w:szCs w:val="20"/>
        </w:rPr>
        <w:t xml:space="preserve"> procent ročně a nulo</w:t>
      </w:r>
      <w:r>
        <w:rPr>
          <w:rFonts w:ascii="Tahoma" w:eastAsia="Tahoma" w:hAnsi="Tahoma" w:cs="Tahoma"/>
          <w:color w:val="CC9900"/>
          <w:sz w:val="20"/>
          <w:szCs w:val="20"/>
        </w:rPr>
        <w:t>vé sazbě na běžném účtu ztrácí lidé minimálně sedm</w:t>
      </w:r>
      <w:r w:rsidRPr="00A30F7D">
        <w:rPr>
          <w:rFonts w:ascii="Tahoma" w:eastAsia="Tahoma" w:hAnsi="Tahoma" w:cs="Tahoma"/>
          <w:color w:val="CC9900"/>
          <w:sz w:val="20"/>
          <w:szCs w:val="20"/>
        </w:rPr>
        <w:t xml:space="preserve"> procent hodnoty kupní síly peněz. Jednoduše, zatímco na začátku </w:t>
      </w:r>
      <w:r>
        <w:rPr>
          <w:rFonts w:ascii="Tahoma" w:eastAsia="Tahoma" w:hAnsi="Tahoma" w:cs="Tahoma"/>
          <w:color w:val="CC9900"/>
          <w:sz w:val="20"/>
          <w:szCs w:val="20"/>
        </w:rPr>
        <w:t>roku máte na účtu například sto tisíc korun</w:t>
      </w:r>
      <w:r w:rsidRPr="00A30F7D">
        <w:rPr>
          <w:rFonts w:ascii="Tahoma" w:eastAsia="Tahoma" w:hAnsi="Tahoma" w:cs="Tahoma"/>
          <w:color w:val="CC9900"/>
          <w:sz w:val="20"/>
          <w:szCs w:val="20"/>
        </w:rPr>
        <w:t xml:space="preserve"> a koupíte si při aktuál</w:t>
      </w:r>
      <w:r>
        <w:rPr>
          <w:rFonts w:ascii="Tahoma" w:eastAsia="Tahoma" w:hAnsi="Tahoma" w:cs="Tahoma"/>
          <w:color w:val="CC9900"/>
          <w:sz w:val="20"/>
          <w:szCs w:val="20"/>
        </w:rPr>
        <w:t>ních cenách zboží za sto tisíc korun, za rok koupíte o sedm tisíc korun</w:t>
      </w:r>
      <w:r w:rsidRPr="00A30F7D">
        <w:rPr>
          <w:rFonts w:ascii="Tahoma" w:eastAsia="Tahoma" w:hAnsi="Tahoma" w:cs="Tahoma"/>
          <w:color w:val="CC9900"/>
          <w:sz w:val="20"/>
          <w:szCs w:val="20"/>
        </w:rPr>
        <w:t xml:space="preserve"> méně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zboží. V současné době, kdy je inflace velmi vysoká a je pravděpodobné, že dál poroste, je třeba peníze uložit jinam. Například s</w:t>
      </w:r>
      <w:r w:rsidRPr="00F92E11">
        <w:rPr>
          <w:rFonts w:ascii="Tahoma" w:eastAsia="Tahoma" w:hAnsi="Tahoma" w:cs="Tahoma"/>
          <w:color w:val="CC9900"/>
          <w:sz w:val="20"/>
          <w:szCs w:val="20"/>
        </w:rPr>
        <w:t>tavební spoření je jist</w:t>
      </w:r>
      <w:r>
        <w:rPr>
          <w:rFonts w:ascii="Tahoma" w:eastAsia="Tahoma" w:hAnsi="Tahoma" w:cs="Tahoma"/>
          <w:color w:val="CC9900"/>
          <w:sz w:val="20"/>
          <w:szCs w:val="20"/>
        </w:rPr>
        <w:t>ota s podporou a má smysl. P</w:t>
      </w:r>
      <w:r w:rsidRPr="00F92E11">
        <w:rPr>
          <w:rFonts w:ascii="Tahoma" w:eastAsia="Tahoma" w:hAnsi="Tahoma" w:cs="Tahoma"/>
          <w:color w:val="CC9900"/>
          <w:sz w:val="20"/>
          <w:szCs w:val="20"/>
        </w:rPr>
        <w:t xml:space="preserve">okud </w:t>
      </w:r>
      <w:r>
        <w:rPr>
          <w:rFonts w:ascii="Tahoma" w:eastAsia="Tahoma" w:hAnsi="Tahoma" w:cs="Tahoma"/>
          <w:color w:val="CC9900"/>
          <w:sz w:val="20"/>
          <w:szCs w:val="20"/>
        </w:rPr>
        <w:t>má člověk na účtu více peněz, musí</w:t>
      </w:r>
      <w:r w:rsidRPr="00F92E11">
        <w:rPr>
          <w:rFonts w:ascii="Tahoma" w:eastAsia="Tahoma" w:hAnsi="Tahoma" w:cs="Tahoma"/>
          <w:color w:val="CC9900"/>
          <w:sz w:val="20"/>
          <w:szCs w:val="20"/>
        </w:rPr>
        <w:t xml:space="preserve"> uvažovat i jiným způsobem.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Existuje o</w:t>
      </w:r>
      <w:r w:rsidRPr="00F92E11">
        <w:rPr>
          <w:rFonts w:ascii="Tahoma" w:eastAsia="Tahoma" w:hAnsi="Tahoma" w:cs="Tahoma"/>
          <w:color w:val="CC9900"/>
          <w:sz w:val="20"/>
          <w:szCs w:val="20"/>
        </w:rPr>
        <w:t xml:space="preserve">becné pravidlo </w:t>
      </w:r>
      <w:r>
        <w:rPr>
          <w:rFonts w:ascii="Tahoma" w:eastAsia="Tahoma" w:hAnsi="Tahoma" w:cs="Tahoma"/>
          <w:color w:val="CC9900"/>
          <w:sz w:val="20"/>
          <w:szCs w:val="20"/>
        </w:rPr>
        <w:t>- mít nějakou hotovost, dále třetinu úspor v nemovitostech, třetinu v akciích a dluhopisech a třetinu v drahých kovech</w:t>
      </w:r>
      <w:r w:rsidRPr="00F92E11">
        <w:rPr>
          <w:rFonts w:ascii="Tahoma" w:eastAsia="Tahoma" w:hAnsi="Tahoma" w:cs="Tahoma"/>
          <w:color w:val="CC9900"/>
          <w:sz w:val="20"/>
          <w:szCs w:val="20"/>
        </w:rPr>
        <w:t xml:space="preserve">. S tím, že se dle aktuálního ekonomického cyklu </w:t>
      </w:r>
      <w:r>
        <w:rPr>
          <w:rFonts w:ascii="Tahoma" w:eastAsia="Tahoma" w:hAnsi="Tahoma" w:cs="Tahoma"/>
          <w:color w:val="CC9900"/>
          <w:sz w:val="20"/>
          <w:szCs w:val="20"/>
        </w:rPr>
        <w:t>finance přelévají</w:t>
      </w:r>
      <w:r w:rsidRPr="00F92E11">
        <w:rPr>
          <w:rFonts w:ascii="Tahoma" w:eastAsia="Tahoma" w:hAnsi="Tahoma" w:cs="Tahoma"/>
          <w:color w:val="CC9900"/>
          <w:sz w:val="20"/>
          <w:szCs w:val="20"/>
        </w:rPr>
        <w:t xml:space="preserve"> z jedné skupiny do druhé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vysvětlil</w:t>
      </w:r>
      <w:r w:rsidRPr="00046B66">
        <w:rPr>
          <w:rFonts w:ascii="Tahoma" w:eastAsia="Tahoma" w:hAnsi="Tahoma" w:cs="Tahoma"/>
          <w:sz w:val="20"/>
          <w:szCs w:val="20"/>
        </w:rPr>
        <w:t xml:space="preserve"> Roman Pilíšek, ekonom a spoluzakladatel společnosti Zlaté rezervy.</w:t>
      </w:r>
    </w:p>
    <w:p w:rsidR="00731E2D" w:rsidRPr="00046B66" w:rsidRDefault="00731E2D" w:rsidP="00731E2D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Podle aktuálního průzkumu by polovině Čechů úspory vydržely tři měsíce, 14 procent Čechů ale žije od výplaty k výplatě. Podle předpokladu se však počet těch, kteří nedisponují vůbec žádnou finanční rezervou, během letošního roku zvýší. Mezi prvními pocítí růst cen nízkopříjmoví obyvatelé České republiky. Zdražují totiž věci, které z běžné spotřeby prakticky nelze vynechat</w:t>
      </w:r>
      <w:r w:rsidRPr="00046B66">
        <w:rPr>
          <w:rFonts w:ascii="Tahoma" w:eastAsia="Tahoma" w:hAnsi="Tahoma" w:cs="Tahoma"/>
          <w:sz w:val="20"/>
          <w:szCs w:val="20"/>
        </w:rPr>
        <w:t xml:space="preserve">.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V letošním roce zdražování nejvíce pocítí lidé, kteří 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>jsou závislí na příjmech ze státního rozpočtu a zvýšení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jejich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 xml:space="preserve"> příjmů je valorizováno buď částečně, nebo vůbec. </w:t>
      </w:r>
      <w:r>
        <w:rPr>
          <w:rFonts w:ascii="Tahoma" w:eastAsia="Tahoma" w:hAnsi="Tahoma" w:cs="Tahoma"/>
          <w:color w:val="CC9900"/>
          <w:sz w:val="20"/>
          <w:szCs w:val="20"/>
        </w:rPr>
        <w:t>Do této skupiny patří především d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>ůchodci, příje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mci podpor rodičovské dovolené nebo 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>sociálních dávek</w:t>
      </w:r>
      <w:r>
        <w:rPr>
          <w:rFonts w:ascii="Tahoma" w:eastAsia="Tahoma" w:hAnsi="Tahoma" w:cs="Tahoma"/>
          <w:color w:val="CC9900"/>
          <w:sz w:val="20"/>
          <w:szCs w:val="20"/>
        </w:rPr>
        <w:t>. Velkým problémem je s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>kokové navyšování cen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energií, které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 xml:space="preserve"> může uvrhnout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zejména zmíněné skupiny obyvatel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 xml:space="preserve"> do energetické chudoby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, tedy do situace, 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>kdy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je na tom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 xml:space="preserve"> odběratel energie finančně tak, že není schopen platit své účty.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>Nyní, kdy skončila výjimka na DPH</w:t>
      </w:r>
      <w:r>
        <w:rPr>
          <w:rFonts w:ascii="Tahoma" w:eastAsia="Tahoma" w:hAnsi="Tahoma" w:cs="Tahoma"/>
          <w:color w:val="CC9900"/>
          <w:sz w:val="20"/>
          <w:szCs w:val="20"/>
        </w:rPr>
        <w:t>,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>je reálné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 xml:space="preserve">, že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spousta českých domácností nebude </w:t>
      </w:r>
      <w:r w:rsidRPr="002132CB">
        <w:rPr>
          <w:rFonts w:ascii="Tahoma" w:eastAsia="Tahoma" w:hAnsi="Tahoma" w:cs="Tahoma"/>
          <w:color w:val="CC9900"/>
          <w:sz w:val="20"/>
          <w:szCs w:val="20"/>
        </w:rPr>
        <w:t>tyto náklady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schopna ustát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uvedl</w:t>
      </w:r>
      <w:r w:rsidRPr="00046B66">
        <w:rPr>
          <w:rFonts w:ascii="Tahoma" w:eastAsia="Tahoma" w:hAnsi="Tahoma" w:cs="Tahoma"/>
          <w:sz w:val="20"/>
          <w:szCs w:val="20"/>
        </w:rPr>
        <w:t xml:space="preserve"> Roman Pilíšek.</w:t>
      </w:r>
    </w:p>
    <w:p w:rsidR="00731E2D" w:rsidRDefault="00731E2D" w:rsidP="00731E2D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Vedle inflace se na růstu cen podepisuje i nesoběstačnost Česka. </w:t>
      </w:r>
      <w:r w:rsidRPr="0036165C">
        <w:rPr>
          <w:rFonts w:ascii="Tahoma" w:eastAsia="Tahoma" w:hAnsi="Tahoma" w:cs="Tahoma"/>
          <w:sz w:val="20"/>
          <w:szCs w:val="20"/>
        </w:rPr>
        <w:t>Česká republika</w:t>
      </w:r>
      <w:r>
        <w:rPr>
          <w:rFonts w:ascii="Tahoma" w:eastAsia="Tahoma" w:hAnsi="Tahoma" w:cs="Tahoma"/>
          <w:sz w:val="20"/>
          <w:szCs w:val="20"/>
        </w:rPr>
        <w:t xml:space="preserve"> totiž</w:t>
      </w:r>
      <w:r w:rsidRPr="0036165C">
        <w:rPr>
          <w:rFonts w:ascii="Tahoma" w:eastAsia="Tahoma" w:hAnsi="Tahoma" w:cs="Tahoma"/>
          <w:sz w:val="20"/>
          <w:szCs w:val="20"/>
        </w:rPr>
        <w:t xml:space="preserve"> není </w:t>
      </w:r>
      <w:r>
        <w:rPr>
          <w:rFonts w:ascii="Tahoma" w:eastAsia="Tahoma" w:hAnsi="Tahoma" w:cs="Tahoma"/>
          <w:sz w:val="20"/>
          <w:szCs w:val="20"/>
        </w:rPr>
        <w:t xml:space="preserve">soběstačná </w:t>
      </w:r>
      <w:r w:rsidRPr="0036165C">
        <w:rPr>
          <w:rFonts w:ascii="Tahoma" w:eastAsia="Tahoma" w:hAnsi="Tahoma" w:cs="Tahoma"/>
          <w:sz w:val="20"/>
          <w:szCs w:val="20"/>
        </w:rPr>
        <w:t xml:space="preserve">téměř v žádném odvětví. Země je závislá na </w:t>
      </w:r>
      <w:r>
        <w:rPr>
          <w:rFonts w:ascii="Tahoma" w:eastAsia="Tahoma" w:hAnsi="Tahoma" w:cs="Tahoma"/>
          <w:sz w:val="20"/>
          <w:szCs w:val="20"/>
        </w:rPr>
        <w:t xml:space="preserve">dovozu z </w:t>
      </w:r>
      <w:r w:rsidRPr="0036165C">
        <w:rPr>
          <w:rFonts w:ascii="Tahoma" w:eastAsia="Tahoma" w:hAnsi="Tahoma" w:cs="Tahoma"/>
          <w:sz w:val="20"/>
          <w:szCs w:val="20"/>
        </w:rPr>
        <w:t>ostatních stát</w:t>
      </w:r>
      <w:r>
        <w:rPr>
          <w:rFonts w:ascii="Tahoma" w:eastAsia="Tahoma" w:hAnsi="Tahoma" w:cs="Tahoma"/>
          <w:sz w:val="20"/>
          <w:szCs w:val="20"/>
        </w:rPr>
        <w:t>ů</w:t>
      </w:r>
      <w:r w:rsidRPr="0036165C">
        <w:rPr>
          <w:rFonts w:ascii="Tahoma" w:eastAsia="Tahoma" w:hAnsi="Tahoma" w:cs="Tahoma"/>
          <w:sz w:val="20"/>
          <w:szCs w:val="20"/>
        </w:rPr>
        <w:t xml:space="preserve"> například v produkci p</w:t>
      </w:r>
      <w:r>
        <w:rPr>
          <w:rFonts w:ascii="Tahoma" w:eastAsia="Tahoma" w:hAnsi="Tahoma" w:cs="Tahoma"/>
          <w:sz w:val="20"/>
          <w:szCs w:val="20"/>
        </w:rPr>
        <w:t>otravin nebo živočišné výrobě</w:t>
      </w:r>
      <w:r w:rsidRPr="00046B66">
        <w:rPr>
          <w:rFonts w:ascii="Tahoma" w:eastAsia="Tahoma" w:hAnsi="Tahoma" w:cs="Tahoma"/>
          <w:sz w:val="20"/>
          <w:szCs w:val="20"/>
        </w:rPr>
        <w:t xml:space="preserve">.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36165C">
        <w:rPr>
          <w:rFonts w:ascii="Tahoma" w:eastAsia="Tahoma" w:hAnsi="Tahoma" w:cs="Tahoma"/>
          <w:color w:val="CC9900"/>
          <w:sz w:val="20"/>
          <w:szCs w:val="20"/>
        </w:rPr>
        <w:t xml:space="preserve">Česko je velmi otevřená ekonomika, proto na </w:t>
      </w:r>
      <w:r>
        <w:rPr>
          <w:rFonts w:ascii="Tahoma" w:eastAsia="Tahoma" w:hAnsi="Tahoma" w:cs="Tahoma"/>
          <w:color w:val="CC9900"/>
          <w:sz w:val="20"/>
          <w:szCs w:val="20"/>
        </w:rPr>
        <w:t>ni</w:t>
      </w:r>
      <w:r w:rsidRPr="0036165C">
        <w:rPr>
          <w:rFonts w:ascii="Tahoma" w:eastAsia="Tahoma" w:hAnsi="Tahoma" w:cs="Tahoma"/>
          <w:color w:val="CC9900"/>
          <w:sz w:val="20"/>
          <w:szCs w:val="20"/>
        </w:rPr>
        <w:t xml:space="preserve"> doléhá světová krize zásadním způsobem. Nejen že naše HDP bylo závislé na turistickém ruchu, ale také na průmyslové výrobě, která je právě závislá na globálních obchodních řetězcích a při jejich rozpadu dochází ke snižování produkce</w:t>
      </w:r>
      <w:r>
        <w:rPr>
          <w:rFonts w:ascii="Tahoma" w:eastAsia="Tahoma" w:hAnsi="Tahoma" w:cs="Tahoma"/>
          <w:color w:val="CC9900"/>
          <w:sz w:val="20"/>
          <w:szCs w:val="20"/>
        </w:rPr>
        <w:t>. Je třeba se připravit na to, že některé zboží z našeho trhu zmizí, jiného bude málo a jeho ceny budou výrazně vyšší, než jsme byli dosud zvyklí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upozornil</w:t>
      </w:r>
      <w:r w:rsidRPr="00046B66">
        <w:rPr>
          <w:rFonts w:ascii="Tahoma" w:eastAsia="Tahoma" w:hAnsi="Tahoma" w:cs="Tahoma"/>
          <w:sz w:val="20"/>
          <w:szCs w:val="20"/>
        </w:rPr>
        <w:t xml:space="preserve"> Roman Pilíšek.</w:t>
      </w:r>
    </w:p>
    <w:p w:rsidR="00731E2D" w:rsidRPr="006C6CB2" w:rsidRDefault="00731E2D" w:rsidP="00731E2D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</w:rPr>
        <w:lastRenderedPageBreak/>
        <w:t>KONTAKT PRO MÉDIA:</w:t>
      </w:r>
    </w:p>
    <w:p w:rsidR="00731E2D" w:rsidRPr="006C6CB2" w:rsidRDefault="00731E2D" w:rsidP="00731E2D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:rsidR="00731E2D" w:rsidRPr="006C6CB2" w:rsidRDefault="00731E2D" w:rsidP="00731E2D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25876661" wp14:editId="566F5F8B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1E2D" w:rsidRPr="006C6CB2" w:rsidRDefault="00731E2D" w:rsidP="00731E2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731E2D" w:rsidRPr="006C6CB2" w:rsidRDefault="00731E2D" w:rsidP="00731E2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:rsidR="00731E2D" w:rsidRPr="006C6CB2" w:rsidRDefault="00731E2D" w:rsidP="00731E2D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8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:rsidR="00731E2D" w:rsidRPr="006C6CB2" w:rsidRDefault="00731E2D" w:rsidP="00731E2D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:rsidR="00731E2D" w:rsidRDefault="00731E2D" w:rsidP="00731E2D">
      <w:bookmarkStart w:id="0" w:name="_heading=h.30j0zll" w:colFirst="0" w:colLast="0"/>
      <w:bookmarkEnd w:id="0"/>
    </w:p>
    <w:p w:rsidR="00731E2D" w:rsidRDefault="00731E2D" w:rsidP="00731E2D"/>
    <w:p w:rsidR="00731E2D" w:rsidRDefault="00731E2D" w:rsidP="00731E2D"/>
    <w:p w:rsidR="00731E2D" w:rsidRDefault="00731E2D" w:rsidP="00731E2D"/>
    <w:p w:rsidR="00731E2D" w:rsidRDefault="00731E2D" w:rsidP="00731E2D"/>
    <w:p w:rsidR="00E373B8" w:rsidRDefault="00E373B8">
      <w:bookmarkStart w:id="1" w:name="_GoBack"/>
      <w:bookmarkEnd w:id="1"/>
    </w:p>
    <w:sectPr w:rsidR="00E373B8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731E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731E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23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2743EA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8E6923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07DB8FF" wp14:editId="522F04A6">
          <wp:extent cx="2819400" cy="59663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823971" cy="597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94B0B" w:rsidRPr="00194B0B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8E6923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731E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731E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731E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2D"/>
    <w:rsid w:val="00731E2D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E2D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1E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E2D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E2D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1E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E2D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rezerv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2022-01-26T19:44:00Z</dcterms:created>
  <dcterms:modified xsi:type="dcterms:W3CDTF">2022-01-26T19:45:00Z</dcterms:modified>
</cp:coreProperties>
</file>