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2917E7" w14:textId="77777777" w:rsidR="001B3AB4" w:rsidRDefault="00000000">
      <w:pPr>
        <w:jc w:val="center"/>
        <w:rPr>
          <w:rFonts w:ascii="Tahoma" w:eastAsia="Tahoma" w:hAnsi="Tahoma" w:cs="Tahoma"/>
          <w:b/>
          <w:sz w:val="42"/>
          <w:szCs w:val="42"/>
        </w:rPr>
      </w:pPr>
      <w:r>
        <w:rPr>
          <w:rFonts w:ascii="Tahoma" w:eastAsia="Tahoma" w:hAnsi="Tahoma" w:cs="Tahoma"/>
          <w:b/>
          <w:sz w:val="42"/>
          <w:szCs w:val="42"/>
        </w:rPr>
        <w:t>Přes 30 tisíc žáků nedodělá střední školu. Postrádají profesní vzory a smysl výuky</w:t>
      </w:r>
    </w:p>
    <w:p w14:paraId="7486E3C3" w14:textId="77777777" w:rsidR="001B3AB4" w:rsidRDefault="00000000">
      <w:pPr>
        <w:jc w:val="both"/>
        <w:rPr>
          <w:rFonts w:ascii="Tahoma" w:eastAsia="Tahoma" w:hAnsi="Tahoma" w:cs="Tahoma"/>
          <w:b/>
          <w:sz w:val="20"/>
          <w:szCs w:val="20"/>
        </w:rPr>
      </w:pPr>
      <w:r>
        <w:rPr>
          <w:rFonts w:ascii="Tahoma" w:eastAsia="Tahoma" w:hAnsi="Tahoma" w:cs="Tahoma"/>
          <w:b/>
          <w:sz w:val="20"/>
          <w:szCs w:val="20"/>
        </w:rPr>
        <w:t>PRAHA, 30. ZÁŘÍ 2026 – Nízká motivace ke studiu a osobní problémy. Tisíce žáků v Česku každý rok opustí střední vzdělávání předčasně. Snížit jejich počty se daří školám, které přímo v regionech spolupracují s firmami.</w:t>
      </w:r>
    </w:p>
    <w:p w14:paraId="75DCB0CA" w14:textId="5C7AD6EA" w:rsidR="001B3AB4" w:rsidRDefault="00000000">
      <w:pPr>
        <w:jc w:val="both"/>
        <w:rPr>
          <w:rFonts w:ascii="Tahoma" w:eastAsia="Tahoma" w:hAnsi="Tahoma" w:cs="Tahoma"/>
          <w:color w:val="CC9900"/>
          <w:sz w:val="20"/>
          <w:szCs w:val="20"/>
        </w:rPr>
      </w:pPr>
      <w:r>
        <w:rPr>
          <w:rFonts w:ascii="Tahoma" w:eastAsia="Tahoma" w:hAnsi="Tahoma" w:cs="Tahoma"/>
          <w:bCs/>
          <w:sz w:val="20"/>
          <w:szCs w:val="20"/>
        </w:rPr>
        <w:t xml:space="preserve">Podíl mladých Čechů, kteří nedosáhnou na maturitu či výuční list, činil v roce 2025 podle </w:t>
      </w:r>
      <w:proofErr w:type="spellStart"/>
      <w:r>
        <w:rPr>
          <w:rFonts w:ascii="Tahoma" w:eastAsia="Tahoma" w:hAnsi="Tahoma" w:cs="Tahoma"/>
          <w:bCs/>
          <w:sz w:val="20"/>
          <w:szCs w:val="20"/>
        </w:rPr>
        <w:t>Eurostatu</w:t>
      </w:r>
      <w:proofErr w:type="spellEnd"/>
      <w:r>
        <w:rPr>
          <w:rFonts w:ascii="Tahoma" w:eastAsia="Tahoma" w:hAnsi="Tahoma" w:cs="Tahoma"/>
          <w:bCs/>
          <w:sz w:val="20"/>
          <w:szCs w:val="20"/>
        </w:rPr>
        <w:t xml:space="preserve"> 6,1 procenta. Vzhledem k celkovému počtu téměř půlmilionu středoškoláků to znamená 30 tisíc předčasných odchodů ze škol, a tedy i zmařený potenciál tisíců </w:t>
      </w:r>
      <w:r w:rsidR="00962106">
        <w:rPr>
          <w:rFonts w:ascii="Tahoma" w:eastAsia="Tahoma" w:hAnsi="Tahoma" w:cs="Tahoma"/>
          <w:bCs/>
          <w:sz w:val="20"/>
          <w:szCs w:val="20"/>
        </w:rPr>
        <w:t>dospívajících</w:t>
      </w:r>
      <w:r>
        <w:rPr>
          <w:rFonts w:ascii="Tahoma" w:eastAsia="Tahoma" w:hAnsi="Tahoma" w:cs="Tahoma"/>
          <w:bCs/>
          <w:sz w:val="20"/>
          <w:szCs w:val="20"/>
        </w:rPr>
        <w:t xml:space="preserve">. </w:t>
      </w:r>
      <w:r>
        <w:rPr>
          <w:rFonts w:ascii="Tahoma" w:eastAsia="Tahoma" w:hAnsi="Tahoma" w:cs="Tahoma"/>
          <w:color w:val="CC9900"/>
          <w:sz w:val="20"/>
          <w:szCs w:val="20"/>
        </w:rPr>
        <w:t xml:space="preserve">„Faktorů je samozřejmě celá řada, od socioekonomických problémů po nezvládnutí učiva. Podle našich poznatků je ale hlavní příčinou předčasného odchodu ze školy ztráta motivace mladých lidí se formálně vzdělávat. Ve výuce žáci nevidí smysl, neumí si představit své možnosti uplatnění ani to, jak jim k tomu škola může pomoci, postrádají profesní inspiraci i konkrétní vzory, které by jim ukázaly, kam až to mohou v oboru dotáhnout. Často je zláká rychlý výdělek na brigádách. Ten je uživí, zpravidla ale jen dočasně. Školu opustí a neuvědomí si, že kdyby vytrvali, dosáhnou časem na lepší kvalifikované pozice, budou mít širší možnosti v budování kariéry a také adekvátně rostoucí příjmy,“ </w:t>
      </w:r>
      <w:r>
        <w:rPr>
          <w:rFonts w:ascii="Tahoma" w:eastAsia="Tahoma" w:hAnsi="Tahoma" w:cs="Tahoma"/>
          <w:sz w:val="20"/>
          <w:szCs w:val="20"/>
        </w:rPr>
        <w:t xml:space="preserve">popsala Marcela Hanušová, senior projektová manažerka vzdělávací organizace Junior </w:t>
      </w:r>
      <w:proofErr w:type="spellStart"/>
      <w:r>
        <w:rPr>
          <w:rFonts w:ascii="Tahoma" w:eastAsia="Tahoma" w:hAnsi="Tahoma" w:cs="Tahoma"/>
          <w:sz w:val="20"/>
          <w:szCs w:val="20"/>
        </w:rPr>
        <w:t>Achievement</w:t>
      </w:r>
      <w:proofErr w:type="spellEnd"/>
      <w:r>
        <w:rPr>
          <w:rFonts w:ascii="Tahoma" w:eastAsia="Tahoma" w:hAnsi="Tahoma" w:cs="Tahoma"/>
          <w:sz w:val="20"/>
          <w:szCs w:val="20"/>
        </w:rPr>
        <w:t xml:space="preserve"> (JA Czech).</w:t>
      </w:r>
    </w:p>
    <w:p w14:paraId="2E772673" w14:textId="77777777" w:rsidR="001B3AB4" w:rsidRDefault="00000000">
      <w:pPr>
        <w:jc w:val="both"/>
        <w:rPr>
          <w:rFonts w:ascii="Tahoma" w:eastAsia="Tahoma" w:hAnsi="Tahoma" w:cs="Tahoma"/>
          <w:bCs/>
          <w:sz w:val="20"/>
          <w:szCs w:val="20"/>
        </w:rPr>
      </w:pPr>
      <w:r>
        <w:rPr>
          <w:rFonts w:ascii="Tahoma" w:eastAsia="Tahoma" w:hAnsi="Tahoma" w:cs="Tahoma"/>
          <w:bCs/>
          <w:sz w:val="20"/>
          <w:szCs w:val="20"/>
        </w:rPr>
        <w:t xml:space="preserve">Problémy se v Česku drží nejen určitých lokalit, ale také typů škol. </w:t>
      </w:r>
      <w:r>
        <w:rPr>
          <w:rFonts w:ascii="Tahoma" w:eastAsia="Tahoma" w:hAnsi="Tahoma" w:cs="Tahoma"/>
          <w:color w:val="CC9900"/>
          <w:sz w:val="20"/>
          <w:szCs w:val="20"/>
        </w:rPr>
        <w:t xml:space="preserve">„Nejvíc je předčasnými odchody ze vzdělávání zasaženo učňovské školství, podobné tendence ale sledujeme i na odborných technických školách napříč republikou. Šest až sedm procent mladých lidí, kteří nevyužili svůj potenciál, se může zdát oproti průměru EU (9,1 %) ještě dobrých, ale čísla v tuzemsku stagnují, zatímco v Evropě klesají, a panují zde velké rozdíly mezi kraji. V Karlovarském a Ústeckém kraji nedokončí střední a vyšší odborné vzdělávání přes 15 procent dětí a celorepublikový průměr ‚nedostudovaných mladých lidí‘ zvyšují také kraje Liberecký, Královéhradecký, Moravskoslezský a Olomoucký,“ </w:t>
      </w:r>
      <w:r>
        <w:rPr>
          <w:rFonts w:ascii="Tahoma" w:eastAsia="Tahoma" w:hAnsi="Tahoma" w:cs="Tahoma"/>
          <w:bCs/>
          <w:sz w:val="20"/>
          <w:szCs w:val="20"/>
        </w:rPr>
        <w:t>upozornil Martin Smrž, ředitel nevládní organizace JA Czech.</w:t>
      </w:r>
    </w:p>
    <w:p w14:paraId="2C0AE75D" w14:textId="77777777" w:rsidR="001B3AB4" w:rsidRDefault="00000000">
      <w:pPr>
        <w:jc w:val="both"/>
        <w:rPr>
          <w:rFonts w:ascii="Tahoma" w:eastAsia="Tahoma" w:hAnsi="Tahoma" w:cs="Tahoma"/>
          <w:bCs/>
          <w:sz w:val="20"/>
          <w:szCs w:val="20"/>
        </w:rPr>
      </w:pPr>
      <w:r>
        <w:rPr>
          <w:rFonts w:ascii="Tahoma" w:hAnsi="Tahoma" w:cs="Tahoma"/>
          <w:bCs/>
          <w:sz w:val="20"/>
          <w:szCs w:val="20"/>
        </w:rPr>
        <w:t xml:space="preserve">Trend předčasného ukončení učňovského studia potvrzuje i Miloslav Janeček, ředitel Střední odborné školy Jarov, která patří k největším v Česku. Podle něj je častým důvodem odchodu také špatná volba oboru. </w:t>
      </w:r>
      <w:r>
        <w:rPr>
          <w:rFonts w:ascii="Tahoma" w:hAnsi="Tahoma" w:cs="Tahoma"/>
          <w:bCs/>
          <w:color w:val="CC9900"/>
          <w:sz w:val="20"/>
          <w:szCs w:val="20"/>
        </w:rPr>
        <w:t xml:space="preserve">„Některé učební obory nedokončí odhadem zhruba desetina žáků. Naše škola má na začátku školního roku přes 1500 žáků. V průběhu každého školního roku odejde z různých důvodů kolem 170 žáků. Několik málo jedinců i vyloučíme, protože mají problémy třeba s chováním nebo docházkou, ale většina z nich přestane chodit sama. Začnou si vydělávat například ve fastfoodu nebo pracují pro různé dopravce, kde je vlastně jediným kritériem pro přijetí řidičské oprávnění,“ </w:t>
      </w:r>
      <w:r>
        <w:rPr>
          <w:rFonts w:ascii="Tahoma" w:hAnsi="Tahoma" w:cs="Tahoma"/>
          <w:bCs/>
          <w:sz w:val="20"/>
          <w:szCs w:val="20"/>
        </w:rPr>
        <w:t>uvedl.</w:t>
      </w:r>
    </w:p>
    <w:p w14:paraId="395AAF9B" w14:textId="6F93AB2B" w:rsidR="001B3AB4" w:rsidRDefault="00000000">
      <w:pPr>
        <w:jc w:val="both"/>
        <w:rPr>
          <w:rFonts w:ascii="Tahoma" w:eastAsia="Tahoma" w:hAnsi="Tahoma" w:cs="Tahoma"/>
          <w:sz w:val="20"/>
          <w:szCs w:val="20"/>
        </w:rPr>
      </w:pPr>
      <w:r>
        <w:rPr>
          <w:rFonts w:ascii="Tahoma" w:eastAsia="Tahoma" w:hAnsi="Tahoma" w:cs="Tahoma"/>
          <w:bCs/>
          <w:sz w:val="20"/>
          <w:szCs w:val="20"/>
        </w:rPr>
        <w:t xml:space="preserve">V Česku žije kolem 14 procent obyvatel s maximálně základním vzděláním, a právě jejich děti jsou předčasnými odchody ze škol nejvíc ohroženy. </w:t>
      </w:r>
      <w:r>
        <w:rPr>
          <w:rFonts w:ascii="Tahoma" w:eastAsia="Tahoma" w:hAnsi="Tahoma" w:cs="Tahoma"/>
          <w:color w:val="CC9900"/>
          <w:sz w:val="20"/>
          <w:szCs w:val="20"/>
        </w:rPr>
        <w:t xml:space="preserve">„Vyššímu riziku, že školu nedokončí, čelí děti s horším prospěchem nebo žáci, kteří nevidí jasnou perspektivu dalšího uplatnění. Máme tu děti, které na střední školu ani nenastoupí, a pak ty, kteří sekundární vzdělávání vzdají. Nějakou formu studia opustí podle ČSÚ až 13 procent mladých Čechů. Pokud mají podporující rodinu a cítí smysl vzdělávání, maturitu či výuční list si dodělají později nebo na jiné škole. Bez vnitřní i vnější motivace k tomu ale už nikdy nedojde. Školám chybí systematická kariérní podpora propojená s praxí a personální i časové kapacity pro individuální práci s takovými dětmi,“ </w:t>
      </w:r>
      <w:r>
        <w:rPr>
          <w:rFonts w:ascii="Tahoma" w:eastAsia="Tahoma" w:hAnsi="Tahoma" w:cs="Tahoma"/>
          <w:sz w:val="20"/>
          <w:szCs w:val="20"/>
        </w:rPr>
        <w:t>podotkla Marcela Hanušová.</w:t>
      </w:r>
    </w:p>
    <w:p w14:paraId="670F9876" w14:textId="3911C457" w:rsidR="001B3AB4" w:rsidRDefault="00000000">
      <w:pPr>
        <w:jc w:val="both"/>
        <w:rPr>
          <w:rFonts w:ascii="Tahoma" w:eastAsia="Tahoma" w:hAnsi="Tahoma" w:cs="Tahoma"/>
          <w:sz w:val="20"/>
          <w:szCs w:val="20"/>
        </w:rPr>
      </w:pPr>
      <w:r>
        <w:rPr>
          <w:rFonts w:ascii="Tahoma" w:eastAsia="Tahoma" w:hAnsi="Tahoma" w:cs="Tahoma"/>
          <w:bCs/>
          <w:sz w:val="20"/>
          <w:szCs w:val="20"/>
        </w:rPr>
        <w:t>Čerstvé zkušenosti z regionů potvrdily, že klíčová je spolupráce škol s organizacemi a firmami přímo v dané oblasti. Tříletý program Re-</w:t>
      </w:r>
      <w:proofErr w:type="spellStart"/>
      <w:r>
        <w:rPr>
          <w:rFonts w:ascii="Tahoma" w:eastAsia="Tahoma" w:hAnsi="Tahoma" w:cs="Tahoma"/>
          <w:bCs/>
          <w:sz w:val="20"/>
          <w:szCs w:val="20"/>
        </w:rPr>
        <w:t>Power</w:t>
      </w:r>
      <w:proofErr w:type="spellEnd"/>
      <w:r>
        <w:rPr>
          <w:rFonts w:ascii="Tahoma" w:eastAsia="Tahoma" w:hAnsi="Tahoma" w:cs="Tahoma"/>
          <w:bCs/>
          <w:sz w:val="20"/>
          <w:szCs w:val="20"/>
        </w:rPr>
        <w:t xml:space="preserve"> </w:t>
      </w:r>
      <w:proofErr w:type="spellStart"/>
      <w:r>
        <w:rPr>
          <w:rFonts w:ascii="Tahoma" w:eastAsia="Tahoma" w:hAnsi="Tahoma" w:cs="Tahoma"/>
          <w:bCs/>
          <w:sz w:val="20"/>
          <w:szCs w:val="20"/>
        </w:rPr>
        <w:t>Your</w:t>
      </w:r>
      <w:proofErr w:type="spellEnd"/>
      <w:r>
        <w:rPr>
          <w:rFonts w:ascii="Tahoma" w:eastAsia="Tahoma" w:hAnsi="Tahoma" w:cs="Tahoma"/>
          <w:bCs/>
          <w:sz w:val="20"/>
          <w:szCs w:val="20"/>
        </w:rPr>
        <w:t xml:space="preserve"> </w:t>
      </w:r>
      <w:proofErr w:type="spellStart"/>
      <w:r>
        <w:rPr>
          <w:rFonts w:ascii="Tahoma" w:eastAsia="Tahoma" w:hAnsi="Tahoma" w:cs="Tahoma"/>
          <w:bCs/>
          <w:sz w:val="20"/>
          <w:szCs w:val="20"/>
        </w:rPr>
        <w:t>Future</w:t>
      </w:r>
      <w:proofErr w:type="spellEnd"/>
      <w:r>
        <w:rPr>
          <w:rFonts w:ascii="Tahoma" w:eastAsia="Tahoma" w:hAnsi="Tahoma" w:cs="Tahoma"/>
          <w:bCs/>
          <w:sz w:val="20"/>
          <w:szCs w:val="20"/>
        </w:rPr>
        <w:t xml:space="preserve"> pod hlavičkou JA Czech přivedl mezi žáky lidi z praxe, odborníky i zaměstnavatele, dal školákům nahlédnout do činnosti různých profesí i firemních </w:t>
      </w:r>
      <w:r>
        <w:rPr>
          <w:rFonts w:ascii="Tahoma" w:eastAsia="Tahoma" w:hAnsi="Tahoma" w:cs="Tahoma"/>
          <w:bCs/>
          <w:sz w:val="20"/>
          <w:szCs w:val="20"/>
        </w:rPr>
        <w:lastRenderedPageBreak/>
        <w:t>provozoven a poskytl další nástroje učitelům, jak v žácích podnítit kariérní orientaci.</w:t>
      </w:r>
      <w:r>
        <w:rPr>
          <w:rFonts w:ascii="Tahoma" w:eastAsia="Tahoma" w:hAnsi="Tahoma" w:cs="Tahoma"/>
          <w:sz w:val="20"/>
          <w:szCs w:val="20"/>
        </w:rPr>
        <w:t xml:space="preserve"> Do programu se zapojilo kolem 50 tisíc dětí z</w:t>
      </w:r>
      <w:r w:rsidR="00DC3BB5">
        <w:rPr>
          <w:rFonts w:ascii="Tahoma" w:eastAsia="Tahoma" w:hAnsi="Tahoma" w:cs="Tahoma"/>
          <w:sz w:val="20"/>
          <w:szCs w:val="20"/>
        </w:rPr>
        <w:t>e</w:t>
      </w:r>
      <w:r>
        <w:rPr>
          <w:rFonts w:ascii="Tahoma" w:eastAsia="Tahoma" w:hAnsi="Tahoma" w:cs="Tahoma"/>
          <w:sz w:val="20"/>
          <w:szCs w:val="20"/>
        </w:rPr>
        <w:t> </w:t>
      </w:r>
      <w:r w:rsidR="00DC3BB5">
        <w:rPr>
          <w:rFonts w:ascii="Tahoma" w:eastAsia="Tahoma" w:hAnsi="Tahoma" w:cs="Tahoma"/>
          <w:sz w:val="20"/>
          <w:szCs w:val="20"/>
        </w:rPr>
        <w:t>417</w:t>
      </w:r>
      <w:r>
        <w:rPr>
          <w:rFonts w:ascii="Tahoma" w:eastAsia="Tahoma" w:hAnsi="Tahoma" w:cs="Tahoma"/>
          <w:sz w:val="20"/>
          <w:szCs w:val="20"/>
        </w:rPr>
        <w:t xml:space="preserve"> škol z celé republiky. </w:t>
      </w:r>
      <w:r>
        <w:rPr>
          <w:rFonts w:ascii="Tahoma" w:eastAsia="Tahoma" w:hAnsi="Tahoma" w:cs="Tahoma"/>
          <w:color w:val="CC9900"/>
          <w:sz w:val="20"/>
          <w:szCs w:val="20"/>
        </w:rPr>
        <w:t xml:space="preserve">„Za největší úspěch považujeme zvýšení motivace studentů pokračovat ve studiu a aktivně plánovat svou budoucnost. Mnozí účastníci uváděli, že jim program pomohl lépe pochopit možnosti svého uplatnění po škole. Ředitelé a učitelé oceňovali zejména praktický charakter aktivit a jejich schopnost oslovit i žáky, kteří se běžně do školních aktivit příliš nezapojují,“ </w:t>
      </w:r>
      <w:r>
        <w:rPr>
          <w:rFonts w:ascii="Tahoma" w:eastAsia="Tahoma" w:hAnsi="Tahoma" w:cs="Tahoma"/>
          <w:sz w:val="20"/>
          <w:szCs w:val="20"/>
        </w:rPr>
        <w:t>vyjmenovala Marcela Hanušová.</w:t>
      </w:r>
    </w:p>
    <w:p w14:paraId="5C58C7D3" w14:textId="05DA26F1" w:rsidR="001B3AB4" w:rsidRDefault="00000000">
      <w:pPr>
        <w:jc w:val="both"/>
        <w:rPr>
          <w:rFonts w:ascii="Tahoma" w:eastAsia="Tahoma" w:hAnsi="Tahoma" w:cs="Tahoma"/>
          <w:bCs/>
          <w:sz w:val="20"/>
          <w:szCs w:val="20"/>
        </w:rPr>
      </w:pPr>
      <w:r>
        <w:rPr>
          <w:rFonts w:ascii="Tahoma" w:eastAsia="Tahoma" w:hAnsi="Tahoma" w:cs="Tahoma"/>
          <w:bCs/>
          <w:sz w:val="20"/>
          <w:szCs w:val="20"/>
        </w:rPr>
        <w:t xml:space="preserve">Významným prvkem programu bylo také propojování studentů z různých škol a často i z různých krajů v rámci společných aktivit a soutěží. </w:t>
      </w:r>
      <w:r>
        <w:rPr>
          <w:rFonts w:ascii="Tahoma" w:eastAsia="Tahoma" w:hAnsi="Tahoma" w:cs="Tahoma"/>
          <w:color w:val="CC9900"/>
          <w:sz w:val="20"/>
          <w:szCs w:val="20"/>
        </w:rPr>
        <w:t xml:space="preserve">„Nejlépe fungovalo zážitkové a praktické učení, přímý kontakt s odborníky z praxe, možnost klást otázky a vidět konkrétní pracovní prostředí. Významnou roli hrála také individuální podpora mentorů, kteří byli žákům na blízku. Díky soutěžním </w:t>
      </w:r>
      <w:proofErr w:type="spellStart"/>
      <w:r>
        <w:rPr>
          <w:rFonts w:ascii="Tahoma" w:eastAsia="Tahoma" w:hAnsi="Tahoma" w:cs="Tahoma"/>
          <w:color w:val="CC9900"/>
          <w:sz w:val="20"/>
          <w:szCs w:val="20"/>
        </w:rPr>
        <w:t>aktivitámměli</w:t>
      </w:r>
      <w:proofErr w:type="spellEnd"/>
      <w:r>
        <w:rPr>
          <w:rFonts w:ascii="Tahoma" w:eastAsia="Tahoma" w:hAnsi="Tahoma" w:cs="Tahoma"/>
          <w:color w:val="CC9900"/>
          <w:sz w:val="20"/>
          <w:szCs w:val="20"/>
        </w:rPr>
        <w:t xml:space="preserve"> mladí lidé možnost porovnat se s jinými žáky z odlišných škol i regionů a tato vzájemná inspirace a výměna zkušeností se ukázala jako jeden z cenných vedlejších přínosů programu,“ </w:t>
      </w:r>
      <w:r>
        <w:rPr>
          <w:rFonts w:ascii="Tahoma" w:eastAsia="Tahoma" w:hAnsi="Tahoma" w:cs="Tahoma"/>
          <w:bCs/>
          <w:sz w:val="20"/>
          <w:szCs w:val="20"/>
        </w:rPr>
        <w:t>přiblížil Martin Smrž.</w:t>
      </w:r>
    </w:p>
    <w:p w14:paraId="54F6C524" w14:textId="03AA251B" w:rsidR="001B3AB4" w:rsidRDefault="00000000">
      <w:pPr>
        <w:jc w:val="both"/>
        <w:rPr>
          <w:rFonts w:ascii="Tahoma" w:eastAsia="Tahoma" w:hAnsi="Tahoma" w:cs="Tahoma"/>
          <w:bCs/>
          <w:sz w:val="20"/>
          <w:szCs w:val="20"/>
        </w:rPr>
      </w:pPr>
      <w:r>
        <w:rPr>
          <w:rFonts w:ascii="Tahoma" w:eastAsia="Tahoma" w:hAnsi="Tahoma" w:cs="Tahoma"/>
          <w:bCs/>
          <w:sz w:val="20"/>
          <w:szCs w:val="20"/>
        </w:rPr>
        <w:t>Díky pozitivním ohlasům bude program Re-</w:t>
      </w:r>
      <w:proofErr w:type="spellStart"/>
      <w:r>
        <w:rPr>
          <w:rFonts w:ascii="Tahoma" w:eastAsia="Tahoma" w:hAnsi="Tahoma" w:cs="Tahoma"/>
          <w:bCs/>
          <w:sz w:val="20"/>
          <w:szCs w:val="20"/>
        </w:rPr>
        <w:t>Power</w:t>
      </w:r>
      <w:proofErr w:type="spellEnd"/>
      <w:r>
        <w:rPr>
          <w:rFonts w:ascii="Tahoma" w:eastAsia="Tahoma" w:hAnsi="Tahoma" w:cs="Tahoma"/>
          <w:bCs/>
          <w:sz w:val="20"/>
          <w:szCs w:val="20"/>
        </w:rPr>
        <w:t xml:space="preserve"> </w:t>
      </w:r>
      <w:proofErr w:type="spellStart"/>
      <w:r>
        <w:rPr>
          <w:rFonts w:ascii="Tahoma" w:eastAsia="Tahoma" w:hAnsi="Tahoma" w:cs="Tahoma"/>
          <w:bCs/>
          <w:sz w:val="20"/>
          <w:szCs w:val="20"/>
        </w:rPr>
        <w:t>Your</w:t>
      </w:r>
      <w:proofErr w:type="spellEnd"/>
      <w:r>
        <w:rPr>
          <w:rFonts w:ascii="Tahoma" w:eastAsia="Tahoma" w:hAnsi="Tahoma" w:cs="Tahoma"/>
          <w:bCs/>
          <w:sz w:val="20"/>
          <w:szCs w:val="20"/>
        </w:rPr>
        <w:t xml:space="preserve"> </w:t>
      </w:r>
      <w:proofErr w:type="spellStart"/>
      <w:r>
        <w:rPr>
          <w:rFonts w:ascii="Tahoma" w:eastAsia="Tahoma" w:hAnsi="Tahoma" w:cs="Tahoma"/>
          <w:bCs/>
          <w:sz w:val="20"/>
          <w:szCs w:val="20"/>
        </w:rPr>
        <w:t>Future</w:t>
      </w:r>
      <w:proofErr w:type="spellEnd"/>
      <w:r>
        <w:rPr>
          <w:rFonts w:ascii="Tahoma" w:eastAsia="Tahoma" w:hAnsi="Tahoma" w:cs="Tahoma"/>
          <w:bCs/>
          <w:sz w:val="20"/>
          <w:szCs w:val="20"/>
        </w:rPr>
        <w:t xml:space="preserve"> pokračovat i v dalším tříletém cyklu. V každém kraji dosud se školami navázalo spolupráci celkem </w:t>
      </w:r>
      <w:r w:rsidR="00DC3BB5">
        <w:rPr>
          <w:rFonts w:ascii="Tahoma" w:eastAsia="Tahoma" w:hAnsi="Tahoma" w:cs="Tahoma"/>
          <w:bCs/>
          <w:sz w:val="20"/>
          <w:szCs w:val="20"/>
        </w:rPr>
        <w:t>1188</w:t>
      </w:r>
      <w:r>
        <w:rPr>
          <w:rFonts w:ascii="Tahoma" w:eastAsia="Tahoma" w:hAnsi="Tahoma" w:cs="Tahoma"/>
          <w:bCs/>
          <w:sz w:val="20"/>
          <w:szCs w:val="20"/>
        </w:rPr>
        <w:t xml:space="preserve"> mentorů </w:t>
      </w:r>
      <w:r w:rsidR="00DC3BB5">
        <w:rPr>
          <w:rFonts w:ascii="Tahoma" w:eastAsia="Tahoma" w:hAnsi="Tahoma" w:cs="Tahoma"/>
          <w:bCs/>
          <w:sz w:val="20"/>
          <w:szCs w:val="20"/>
        </w:rPr>
        <w:t xml:space="preserve">a lektorů </w:t>
      </w:r>
      <w:r>
        <w:rPr>
          <w:rFonts w:ascii="Tahoma" w:eastAsia="Tahoma" w:hAnsi="Tahoma" w:cs="Tahoma"/>
          <w:bCs/>
          <w:sz w:val="20"/>
          <w:szCs w:val="20"/>
        </w:rPr>
        <w:t>z</w:t>
      </w:r>
      <w:r w:rsidR="00DC3BB5">
        <w:rPr>
          <w:rFonts w:ascii="Tahoma" w:eastAsia="Tahoma" w:hAnsi="Tahoma" w:cs="Tahoma"/>
          <w:bCs/>
          <w:sz w:val="20"/>
          <w:szCs w:val="20"/>
        </w:rPr>
        <w:t> </w:t>
      </w:r>
      <w:r>
        <w:rPr>
          <w:rFonts w:ascii="Tahoma" w:eastAsia="Tahoma" w:hAnsi="Tahoma" w:cs="Tahoma"/>
          <w:bCs/>
          <w:sz w:val="20"/>
          <w:szCs w:val="20"/>
        </w:rPr>
        <w:t>praxe</w:t>
      </w:r>
      <w:r w:rsidR="00DC3BB5">
        <w:rPr>
          <w:rFonts w:ascii="Tahoma" w:eastAsia="Tahoma" w:hAnsi="Tahoma" w:cs="Tahoma"/>
          <w:bCs/>
          <w:sz w:val="20"/>
          <w:szCs w:val="20"/>
        </w:rPr>
        <w:t>, přičemž</w:t>
      </w:r>
      <w:r>
        <w:rPr>
          <w:rFonts w:ascii="Tahoma" w:eastAsia="Tahoma" w:hAnsi="Tahoma" w:cs="Tahoma"/>
          <w:bCs/>
          <w:sz w:val="20"/>
          <w:szCs w:val="20"/>
        </w:rPr>
        <w:t xml:space="preserve"> další přibývají. </w:t>
      </w:r>
      <w:r>
        <w:rPr>
          <w:rFonts w:ascii="Tahoma" w:eastAsia="Tahoma" w:hAnsi="Tahoma" w:cs="Tahoma"/>
          <w:color w:val="CC9900"/>
          <w:sz w:val="20"/>
          <w:szCs w:val="20"/>
        </w:rPr>
        <w:t xml:space="preserve">„Kromě studentů se nově plánujeme zaměřit také na intenzivnější podporu pedagogů a školních pracovníků, kteří hrají klíčovou roli při včasném rozpoznávání ohrožených žáků a jejich motivaci k dokončení vzdělávání. Mnozí ředitelé byli na tento problém dosud sami, navíc pod ohromnou administrativní zátěží. V programu nalezli metodickou podporu a koordinovanou spolupráci s externími partnery. A zvýšený zájem sledujeme i u regionálních firem, které mají chuť ovlivnit rozvoj mladé generace v regionu,“ </w:t>
      </w:r>
      <w:r>
        <w:rPr>
          <w:rFonts w:ascii="Tahoma" w:eastAsia="Tahoma" w:hAnsi="Tahoma" w:cs="Tahoma"/>
          <w:bCs/>
          <w:sz w:val="20"/>
          <w:szCs w:val="20"/>
        </w:rPr>
        <w:t>uzavřel Martin Smrž.</w:t>
      </w:r>
    </w:p>
    <w:p w14:paraId="19F5C79A" w14:textId="77777777" w:rsidR="001B3AB4" w:rsidRDefault="00000000">
      <w:pPr>
        <w:jc w:val="both"/>
        <w:rPr>
          <w:rFonts w:ascii="Tahoma" w:eastAsia="Tahoma" w:hAnsi="Tahoma" w:cs="Tahoma"/>
          <w:bCs/>
          <w:i/>
          <w:iCs/>
          <w:sz w:val="18"/>
          <w:szCs w:val="18"/>
        </w:rPr>
      </w:pPr>
      <w:r>
        <w:rPr>
          <w:rFonts w:ascii="Tahoma" w:eastAsia="Tahoma" w:hAnsi="Tahoma" w:cs="Tahoma"/>
          <w:bCs/>
          <w:i/>
          <w:iCs/>
          <w:sz w:val="18"/>
          <w:szCs w:val="18"/>
        </w:rPr>
        <w:t xml:space="preserve">V tiskové zprávě byla využita data </w:t>
      </w:r>
      <w:hyperlink r:id="rId7">
        <w:proofErr w:type="spellStart"/>
        <w:r w:rsidR="001B3AB4">
          <w:rPr>
            <w:rStyle w:val="Hypertextovodkaz"/>
            <w:rFonts w:ascii="Tahoma" w:eastAsia="Tahoma" w:hAnsi="Tahoma" w:cs="Tahoma"/>
            <w:bCs/>
            <w:i/>
            <w:iCs/>
            <w:sz w:val="18"/>
            <w:szCs w:val="18"/>
          </w:rPr>
          <w:t>Eurostat</w:t>
        </w:r>
        <w:proofErr w:type="spellEnd"/>
      </w:hyperlink>
      <w:r>
        <w:rPr>
          <w:rFonts w:ascii="Tahoma" w:eastAsia="Tahoma" w:hAnsi="Tahoma" w:cs="Tahoma"/>
          <w:bCs/>
          <w:i/>
          <w:iCs/>
          <w:sz w:val="18"/>
          <w:szCs w:val="18"/>
        </w:rPr>
        <w:t xml:space="preserve">, </w:t>
      </w:r>
      <w:hyperlink r:id="rId8">
        <w:r w:rsidR="001B3AB4">
          <w:rPr>
            <w:rStyle w:val="Hypertextovodkaz"/>
            <w:rFonts w:ascii="Tahoma" w:eastAsia="Tahoma" w:hAnsi="Tahoma" w:cs="Tahoma"/>
            <w:bCs/>
            <w:i/>
            <w:iCs/>
            <w:sz w:val="18"/>
            <w:szCs w:val="18"/>
          </w:rPr>
          <w:t>ČSÚ</w:t>
        </w:r>
      </w:hyperlink>
      <w:r>
        <w:rPr>
          <w:rFonts w:ascii="Tahoma" w:eastAsia="Tahoma" w:hAnsi="Tahoma" w:cs="Tahoma"/>
          <w:bCs/>
          <w:i/>
          <w:iCs/>
          <w:sz w:val="18"/>
          <w:szCs w:val="18"/>
        </w:rPr>
        <w:t>.</w:t>
      </w:r>
    </w:p>
    <w:p w14:paraId="04F72A67" w14:textId="77777777" w:rsidR="001B3AB4" w:rsidRDefault="00000000">
      <w:pPr>
        <w:pBdr>
          <w:top w:val="single" w:sz="4" w:space="1" w:color="000000"/>
        </w:pBdr>
        <w:jc w:val="both"/>
        <w:rPr>
          <w:rFonts w:ascii="Tahoma" w:eastAsia="Tahoma" w:hAnsi="Tahoma" w:cs="Tahoma"/>
          <w:sz w:val="20"/>
          <w:szCs w:val="20"/>
        </w:rPr>
      </w:pPr>
      <w:r>
        <w:rPr>
          <w:rFonts w:ascii="Tahoma" w:eastAsia="Tahoma" w:hAnsi="Tahoma" w:cs="Tahoma"/>
          <w:b/>
          <w:sz w:val="20"/>
          <w:szCs w:val="20"/>
        </w:rPr>
        <w:t>KONTAKT PRO MÉDIA:</w:t>
      </w:r>
    </w:p>
    <w:p w14:paraId="19226186" w14:textId="77777777" w:rsidR="001B3AB4" w:rsidRDefault="00000000">
      <w:pPr>
        <w:spacing w:line="240" w:lineRule="auto"/>
        <w:jc w:val="both"/>
        <w:rPr>
          <w:rFonts w:ascii="Tahoma" w:eastAsia="Tahoma" w:hAnsi="Tahoma" w:cs="Tahoma"/>
          <w:b/>
          <w:color w:val="CC9900"/>
          <w:sz w:val="18"/>
          <w:szCs w:val="18"/>
        </w:rPr>
      </w:pPr>
      <w:r>
        <w:rPr>
          <w:rFonts w:ascii="Tahoma" w:eastAsia="Tahoma" w:hAnsi="Tahoma" w:cs="Tahoma"/>
          <w:b/>
          <w:color w:val="333333"/>
          <w:sz w:val="18"/>
          <w:szCs w:val="18"/>
        </w:rPr>
        <w:t xml:space="preserve">Mgr. Eliška </w:t>
      </w:r>
      <w:proofErr w:type="spellStart"/>
      <w:r>
        <w:rPr>
          <w:rFonts w:ascii="Tahoma" w:eastAsia="Tahoma" w:hAnsi="Tahoma" w:cs="Tahoma"/>
          <w:b/>
          <w:color w:val="333333"/>
          <w:sz w:val="18"/>
          <w:szCs w:val="18"/>
        </w:rPr>
        <w:t>Crkovská</w:t>
      </w:r>
      <w:r>
        <w:rPr>
          <w:rFonts w:ascii="Tahoma" w:eastAsia="Tahoma" w:hAnsi="Tahoma" w:cs="Tahoma"/>
          <w:b/>
          <w:color w:val="CC9900"/>
          <w:sz w:val="18"/>
          <w:szCs w:val="18"/>
        </w:rPr>
        <w:t>_mediální</w:t>
      </w:r>
      <w:proofErr w:type="spellEnd"/>
      <w:r>
        <w:rPr>
          <w:rFonts w:ascii="Tahoma" w:eastAsia="Tahoma" w:hAnsi="Tahoma" w:cs="Tahoma"/>
          <w:b/>
          <w:color w:val="CC9900"/>
          <w:sz w:val="18"/>
          <w:szCs w:val="18"/>
        </w:rPr>
        <w:t xml:space="preserve"> konzultant</w:t>
      </w:r>
    </w:p>
    <w:p w14:paraId="57041CAF" w14:textId="77777777" w:rsidR="001B3AB4" w:rsidRDefault="00000000">
      <w:pPr>
        <w:spacing w:line="240" w:lineRule="auto"/>
        <w:jc w:val="both"/>
        <w:rPr>
          <w:rFonts w:ascii="Tahoma" w:eastAsia="Tahoma" w:hAnsi="Tahoma" w:cs="Tahoma"/>
          <w:b/>
          <w:sz w:val="18"/>
          <w:szCs w:val="18"/>
        </w:rPr>
      </w:pPr>
      <w:r>
        <w:rPr>
          <w:noProof/>
        </w:rPr>
        <w:drawing>
          <wp:inline distT="0" distB="0" distL="0" distR="0" wp14:anchorId="781631F2" wp14:editId="068707FB">
            <wp:extent cx="833755" cy="13271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9"/>
                    <a:stretch>
                      <a:fillRect/>
                    </a:stretch>
                  </pic:blipFill>
                  <pic:spPr bwMode="auto">
                    <a:xfrm>
                      <a:off x="0" y="0"/>
                      <a:ext cx="833755" cy="132715"/>
                    </a:xfrm>
                    <a:prstGeom prst="rect">
                      <a:avLst/>
                    </a:prstGeom>
                    <a:noFill/>
                  </pic:spPr>
                </pic:pic>
              </a:graphicData>
            </a:graphic>
          </wp:inline>
        </w:drawing>
      </w:r>
    </w:p>
    <w:p w14:paraId="53CD3898" w14:textId="77777777" w:rsidR="001B3AB4" w:rsidRDefault="00000000">
      <w:pPr>
        <w:pBdr>
          <w:bottom w:val="single" w:sz="4" w:space="1" w:color="000000"/>
        </w:pBdr>
        <w:spacing w:line="240" w:lineRule="auto"/>
        <w:jc w:val="both"/>
        <w:rPr>
          <w:rFonts w:ascii="Tahoma" w:eastAsia="Tahoma" w:hAnsi="Tahoma" w:cs="Tahoma"/>
          <w:b/>
          <w:color w:val="0000FF"/>
          <w:sz w:val="18"/>
          <w:szCs w:val="18"/>
          <w:u w:val="single"/>
        </w:rPr>
      </w:pPr>
      <w:r>
        <w:rPr>
          <w:rFonts w:ascii="Tahoma" w:eastAsia="Tahoma" w:hAnsi="Tahoma" w:cs="Tahoma"/>
          <w:b/>
          <w:sz w:val="18"/>
          <w:szCs w:val="18"/>
        </w:rPr>
        <w:t xml:space="preserve">+420 605 218 549, </w:t>
      </w:r>
      <w:hyperlink r:id="rId10">
        <w:r w:rsidR="001B3AB4">
          <w:rPr>
            <w:rFonts w:ascii="Tahoma" w:eastAsia="Tahoma" w:hAnsi="Tahoma" w:cs="Tahoma"/>
            <w:b/>
            <w:color w:val="0000FF"/>
            <w:sz w:val="18"/>
            <w:szCs w:val="18"/>
            <w:u w:val="single"/>
          </w:rPr>
          <w:t>eliska@pearmedia.cz</w:t>
        </w:r>
      </w:hyperlink>
    </w:p>
    <w:p w14:paraId="030102F4" w14:textId="77777777" w:rsidR="001B3AB4" w:rsidRDefault="00000000">
      <w:pPr>
        <w:jc w:val="both"/>
        <w:rPr>
          <w:rFonts w:ascii="Tahoma" w:eastAsia="Tahoma" w:hAnsi="Tahoma" w:cs="Tahoma"/>
          <w:b/>
          <w:sz w:val="20"/>
          <w:szCs w:val="20"/>
        </w:rPr>
      </w:pPr>
      <w:r>
        <w:rPr>
          <w:rFonts w:ascii="Tahoma" w:eastAsia="Tahoma" w:hAnsi="Tahoma" w:cs="Tahoma"/>
          <w:b/>
          <w:sz w:val="20"/>
          <w:szCs w:val="20"/>
        </w:rPr>
        <w:t>JUNIOR ACHIEVEMENT (JA), [</w:t>
      </w:r>
      <w:proofErr w:type="spellStart"/>
      <w:r>
        <w:rPr>
          <w:rFonts w:ascii="Tahoma" w:eastAsia="Tahoma" w:hAnsi="Tahoma" w:cs="Tahoma"/>
          <w:b/>
          <w:sz w:val="20"/>
          <w:szCs w:val="20"/>
        </w:rPr>
        <w:t>džúnijr</w:t>
      </w:r>
      <w:proofErr w:type="spellEnd"/>
      <w:r>
        <w:rPr>
          <w:rFonts w:ascii="Tahoma" w:eastAsia="Tahoma" w:hAnsi="Tahoma" w:cs="Tahoma"/>
          <w:b/>
          <w:sz w:val="20"/>
          <w:szCs w:val="20"/>
        </w:rPr>
        <w:t xml:space="preserve"> </w:t>
      </w:r>
      <w:proofErr w:type="spellStart"/>
      <w:r>
        <w:rPr>
          <w:rFonts w:ascii="Tahoma" w:eastAsia="Tahoma" w:hAnsi="Tahoma" w:cs="Tahoma"/>
          <w:b/>
          <w:sz w:val="20"/>
          <w:szCs w:val="20"/>
        </w:rPr>
        <w:t>əčívmənt</w:t>
      </w:r>
      <w:proofErr w:type="spellEnd"/>
      <w:r>
        <w:rPr>
          <w:rFonts w:ascii="Tahoma" w:eastAsia="Tahoma" w:hAnsi="Tahoma" w:cs="Tahoma"/>
          <w:b/>
          <w:sz w:val="20"/>
          <w:szCs w:val="20"/>
        </w:rPr>
        <w:t xml:space="preserve">], </w:t>
      </w:r>
      <w:hyperlink r:id="rId11">
        <w:r w:rsidR="001B3AB4">
          <w:rPr>
            <w:rStyle w:val="Hypertextovodkaz"/>
            <w:rFonts w:ascii="Tahoma" w:eastAsia="Tahoma" w:hAnsi="Tahoma" w:cs="Tahoma"/>
            <w:b/>
            <w:sz w:val="20"/>
            <w:szCs w:val="20"/>
          </w:rPr>
          <w:t>www.juniorachievement.org</w:t>
        </w:r>
      </w:hyperlink>
      <w:r>
        <w:rPr>
          <w:rFonts w:ascii="Tahoma" w:eastAsia="Tahoma" w:hAnsi="Tahoma" w:cs="Tahoma"/>
          <w:b/>
          <w:sz w:val="20"/>
          <w:szCs w:val="20"/>
        </w:rPr>
        <w:t xml:space="preserve"> </w:t>
      </w:r>
    </w:p>
    <w:p w14:paraId="58DAF50D" w14:textId="77777777" w:rsidR="001B3AB4" w:rsidRDefault="00000000">
      <w:pPr>
        <w:jc w:val="both"/>
      </w:pPr>
      <w:r>
        <w:rPr>
          <w:rFonts w:ascii="Tahoma" w:eastAsia="Tahoma" w:hAnsi="Tahoma" w:cs="Tahoma"/>
          <w:b/>
          <w:sz w:val="18"/>
          <w:szCs w:val="18"/>
        </w:rPr>
        <w:t xml:space="preserve">Junior </w:t>
      </w:r>
      <w:proofErr w:type="spellStart"/>
      <w:r>
        <w:rPr>
          <w:rFonts w:ascii="Tahoma" w:eastAsia="Tahoma" w:hAnsi="Tahoma" w:cs="Tahoma"/>
          <w:b/>
          <w:sz w:val="18"/>
          <w:szCs w:val="18"/>
        </w:rPr>
        <w:t>Achievement</w:t>
      </w:r>
      <w:proofErr w:type="spellEnd"/>
      <w:r>
        <w:rPr>
          <w:rFonts w:ascii="Tahoma" w:eastAsia="Tahoma" w:hAnsi="Tahoma" w:cs="Tahoma"/>
          <w:bCs/>
          <w:sz w:val="18"/>
          <w:szCs w:val="18"/>
        </w:rPr>
        <w:t xml:space="preserve"> je nejstarší vzdělávací organizace na světě s rokem vzniku 1919. Působí ve více než 120 zemích světa. Zároveň byla švýcarskou institucí NGO Advisor vyhlášena jako sedmá nejvlivnější nevládní organizace světa a v lednu 2022 byla za svou práci pro rozvoj mládeže nominována na Nobelovu cenu míru. Do programů JA se každoročně zapojí 11 milionů dětí a studentů ve věku šest až 22 let.</w:t>
      </w:r>
    </w:p>
    <w:p w14:paraId="62F7C638" w14:textId="77777777" w:rsidR="001B3AB4" w:rsidRDefault="00000000">
      <w:pPr>
        <w:jc w:val="both"/>
        <w:rPr>
          <w:rFonts w:ascii="Tahoma" w:eastAsia="Tahoma" w:hAnsi="Tahoma" w:cs="Tahoma"/>
          <w:b/>
          <w:sz w:val="20"/>
          <w:szCs w:val="20"/>
        </w:rPr>
      </w:pPr>
      <w:r>
        <w:rPr>
          <w:rFonts w:ascii="Tahoma" w:eastAsia="Tahoma" w:hAnsi="Tahoma" w:cs="Tahoma"/>
          <w:b/>
          <w:sz w:val="20"/>
          <w:szCs w:val="20"/>
        </w:rPr>
        <w:t>JA CZECH [</w:t>
      </w:r>
      <w:proofErr w:type="spellStart"/>
      <w:r>
        <w:rPr>
          <w:rFonts w:ascii="Tahoma" w:eastAsia="Tahoma" w:hAnsi="Tahoma" w:cs="Tahoma"/>
          <w:b/>
          <w:sz w:val="20"/>
          <w:szCs w:val="20"/>
        </w:rPr>
        <w:t>džej</w:t>
      </w:r>
      <w:proofErr w:type="spellEnd"/>
      <w:r>
        <w:rPr>
          <w:rFonts w:ascii="Tahoma" w:eastAsia="Tahoma" w:hAnsi="Tahoma" w:cs="Tahoma"/>
          <w:b/>
          <w:sz w:val="20"/>
          <w:szCs w:val="20"/>
        </w:rPr>
        <w:t xml:space="preserve"> ej </w:t>
      </w:r>
      <w:proofErr w:type="spellStart"/>
      <w:r>
        <w:rPr>
          <w:rFonts w:ascii="Tahoma" w:eastAsia="Tahoma" w:hAnsi="Tahoma" w:cs="Tahoma"/>
          <w:b/>
          <w:sz w:val="20"/>
          <w:szCs w:val="20"/>
        </w:rPr>
        <w:t>ček</w:t>
      </w:r>
      <w:proofErr w:type="spellEnd"/>
      <w:r>
        <w:rPr>
          <w:rFonts w:ascii="Tahoma" w:eastAsia="Tahoma" w:hAnsi="Tahoma" w:cs="Tahoma"/>
          <w:b/>
          <w:sz w:val="20"/>
          <w:szCs w:val="20"/>
        </w:rPr>
        <w:t xml:space="preserve">], </w:t>
      </w:r>
      <w:hyperlink r:id="rId12">
        <w:r w:rsidR="001B3AB4">
          <w:rPr>
            <w:rStyle w:val="Hypertextovodkaz"/>
            <w:rFonts w:ascii="Tahoma" w:eastAsia="Tahoma" w:hAnsi="Tahoma" w:cs="Tahoma"/>
            <w:b/>
            <w:sz w:val="20"/>
            <w:szCs w:val="20"/>
          </w:rPr>
          <w:t>www.jaczech.org</w:t>
        </w:r>
      </w:hyperlink>
    </w:p>
    <w:p w14:paraId="567C42A9" w14:textId="77777777" w:rsidR="001B3AB4" w:rsidRDefault="00000000">
      <w:pPr>
        <w:jc w:val="both"/>
        <w:rPr>
          <w:rFonts w:ascii="Tahoma" w:eastAsia="Tahoma" w:hAnsi="Tahoma" w:cs="Tahoma"/>
          <w:bCs/>
          <w:sz w:val="18"/>
          <w:szCs w:val="18"/>
        </w:rPr>
      </w:pPr>
      <w:r>
        <w:rPr>
          <w:rFonts w:ascii="Tahoma" w:eastAsia="Tahoma" w:hAnsi="Tahoma" w:cs="Tahoma"/>
          <w:b/>
          <w:sz w:val="18"/>
          <w:szCs w:val="18"/>
        </w:rPr>
        <w:t>JA Czech</w:t>
      </w:r>
      <w:r>
        <w:rPr>
          <w:rFonts w:ascii="Tahoma" w:eastAsia="Tahoma" w:hAnsi="Tahoma" w:cs="Tahoma"/>
          <w:bCs/>
          <w:sz w:val="18"/>
          <w:szCs w:val="18"/>
        </w:rPr>
        <w:t xml:space="preserve"> je obecně prospěšná vzdělávací organizace založená Tomášem Baťou, která již od roku 1992 realizuje na českých školách ucelenou koncepci nadstandardního vzdělávání. Formuje podnikatelské myšlení a finanční gramotnost mladých lidí, propojuje je s lidmi z praxe a pomáhá nastartovat jejich úspěšnou profesní kariéru. Ve spolupráci se školami vytváří příznivé a motivující prostředí pro rozvoj osobních dovedností v rámci podnikatelského vzdělávání studentů i učitelů. Stěžejního projektu JA Studentská firma, se závěrečným veletrhem JA STUDENTSKÁ FIRMA ROKU, se každoročně účastní tisíce středoškoláků.</w:t>
      </w:r>
    </w:p>
    <w:sectPr w:rsidR="001B3AB4">
      <w:headerReference w:type="even" r:id="rId13"/>
      <w:headerReference w:type="default" r:id="rId14"/>
      <w:footerReference w:type="even" r:id="rId15"/>
      <w:footerReference w:type="default" r:id="rId16"/>
      <w:headerReference w:type="first" r:id="rId17"/>
      <w:footerReference w:type="first" r:id="rId18"/>
      <w:pgSz w:w="11906" w:h="16838"/>
      <w:pgMar w:top="1417" w:right="1417" w:bottom="1417" w:left="1417" w:header="708" w:footer="708" w:gutter="0"/>
      <w:pgNumType w:start="1"/>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B1347" w14:textId="77777777" w:rsidR="00014258" w:rsidRDefault="00014258">
      <w:pPr>
        <w:spacing w:after="0" w:line="240" w:lineRule="auto"/>
      </w:pPr>
      <w:r>
        <w:separator/>
      </w:r>
    </w:p>
  </w:endnote>
  <w:endnote w:type="continuationSeparator" w:id="0">
    <w:p w14:paraId="7900BDA7" w14:textId="77777777" w:rsidR="00014258" w:rsidRDefault="00014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rlito">
    <w:altName w:val="Calibri"/>
    <w:charset w:val="01"/>
    <w:family w:val="swiss"/>
    <w:pitch w:val="variable"/>
  </w:font>
  <w:font w:name="Noto Sans CJK SC">
    <w:panose1 w:val="00000000000000000000"/>
    <w:charset w:val="00"/>
    <w:family w:val="roman"/>
    <w:notTrueType/>
    <w:pitch w:val="default"/>
  </w:font>
  <w:font w:name="Noto Serif Devanagari">
    <w:panose1 w:val="00000000000000000000"/>
    <w:charset w:val="00"/>
    <w:family w:val="roman"/>
    <w:notTrueType/>
    <w:pitch w:val="default"/>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B78C" w14:textId="77777777" w:rsidR="001B3AB4" w:rsidRDefault="001B3AB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A42E5" w14:textId="77777777" w:rsidR="001B3AB4" w:rsidRDefault="001B3AB4">
    <w:pPr>
      <w:tabs>
        <w:tab w:val="center" w:pos="4536"/>
        <w:tab w:val="right" w:pos="9072"/>
      </w:tabs>
      <w:spacing w:after="0" w:line="240" w:lineRule="auto"/>
    </w:pPr>
  </w:p>
  <w:p w14:paraId="63B51FEF" w14:textId="77777777" w:rsidR="001B3AB4" w:rsidRDefault="001B3AB4">
    <w:pPr>
      <w:tabs>
        <w:tab w:val="center" w:pos="4536"/>
        <w:tab w:val="right" w:pos="9072"/>
      </w:tabs>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9D3E6" w14:textId="77777777" w:rsidR="001B3AB4" w:rsidRDefault="001B3AB4">
    <w:pPr>
      <w:tabs>
        <w:tab w:val="center" w:pos="4536"/>
        <w:tab w:val="right" w:pos="9072"/>
      </w:tabs>
      <w:spacing w:after="0" w:line="240" w:lineRule="auto"/>
    </w:pPr>
  </w:p>
  <w:p w14:paraId="5132E43D" w14:textId="77777777" w:rsidR="001B3AB4" w:rsidRDefault="001B3AB4">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4A0F9" w14:textId="77777777" w:rsidR="00014258" w:rsidRDefault="00014258">
      <w:pPr>
        <w:spacing w:after="0" w:line="240" w:lineRule="auto"/>
      </w:pPr>
      <w:r>
        <w:separator/>
      </w:r>
    </w:p>
  </w:footnote>
  <w:footnote w:type="continuationSeparator" w:id="0">
    <w:p w14:paraId="02D11DAE" w14:textId="77777777" w:rsidR="00014258" w:rsidRDefault="000142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34070" w14:textId="77777777" w:rsidR="001B3AB4" w:rsidRDefault="001B3AB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3EC9B" w14:textId="77777777" w:rsidR="001B3AB4" w:rsidRDefault="00000000">
    <w:pPr>
      <w:tabs>
        <w:tab w:val="left" w:pos="3615"/>
        <w:tab w:val="left" w:pos="5954"/>
      </w:tabs>
      <w:spacing w:after="0" w:line="240" w:lineRule="auto"/>
      <w:rPr>
        <w:b/>
        <w:sz w:val="36"/>
        <w:szCs w:val="36"/>
      </w:rPr>
    </w:pPr>
    <w:r>
      <w:rPr>
        <w:noProof/>
      </w:rPr>
      <w:drawing>
        <wp:anchor distT="0" distB="0" distL="114300" distR="114300" simplePos="0" relativeHeight="251657216" behindDoc="1" locked="0" layoutInCell="0" allowOverlap="1" wp14:anchorId="3E49B707" wp14:editId="2CFF6DE6">
          <wp:simplePos x="0" y="0"/>
          <wp:positionH relativeFrom="margin">
            <wp:posOffset>-445135</wp:posOffset>
          </wp:positionH>
          <wp:positionV relativeFrom="margin">
            <wp:posOffset>-1069340</wp:posOffset>
          </wp:positionV>
          <wp:extent cx="1485900" cy="85598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a:picLocks noChangeAspect="1" noChangeArrowheads="1"/>
                  </pic:cNvPicPr>
                </pic:nvPicPr>
                <pic:blipFill>
                  <a:blip r:embed="rId1"/>
                  <a:stretch>
                    <a:fillRect/>
                  </a:stretch>
                </pic:blipFill>
                <pic:spPr bwMode="auto">
                  <a:xfrm>
                    <a:off x="0" y="0"/>
                    <a:ext cx="1485900" cy="855980"/>
                  </a:xfrm>
                  <a:prstGeom prst="rect">
                    <a:avLst/>
                  </a:prstGeom>
                  <a:noFill/>
                </pic:spPr>
              </pic:pic>
            </a:graphicData>
          </a:graphic>
        </wp:anchor>
      </w:drawing>
    </w:r>
    <w:r>
      <w:rPr>
        <w:b/>
        <w:sz w:val="36"/>
        <w:szCs w:val="36"/>
      </w:rPr>
      <w:tab/>
    </w:r>
    <w:r>
      <w:rPr>
        <w:b/>
        <w:sz w:val="36"/>
        <w:szCs w:val="36"/>
      </w:rPr>
      <w:tab/>
      <w:t>TISKOVÁ ZPRÁVA</w:t>
    </w:r>
  </w:p>
  <w:p w14:paraId="0EE8E1E9" w14:textId="77777777" w:rsidR="001B3AB4" w:rsidRDefault="001B3AB4">
    <w:pPr>
      <w:tabs>
        <w:tab w:val="left" w:pos="3615"/>
        <w:tab w:val="left" w:pos="5954"/>
      </w:tabs>
      <w:spacing w:after="0" w:line="240" w:lineRule="auto"/>
      <w:jc w:val="right"/>
      <w:rPr>
        <w:b/>
        <w:sz w:val="36"/>
        <w:szCs w:val="36"/>
      </w:rPr>
    </w:pPr>
  </w:p>
  <w:p w14:paraId="172F54D4" w14:textId="77777777" w:rsidR="001B3AB4" w:rsidRDefault="001B3AB4">
    <w:pPr>
      <w:tabs>
        <w:tab w:val="left" w:pos="3615"/>
        <w:tab w:val="left" w:pos="5954"/>
      </w:tabs>
      <w:spacing w:after="0" w:line="240" w:lineRule="auto"/>
      <w:jc w:val="right"/>
      <w:rPr>
        <w:b/>
        <w:sz w:val="2"/>
        <w:szCs w:val="2"/>
      </w:rPr>
    </w:pPr>
  </w:p>
  <w:p w14:paraId="0DD610CD" w14:textId="77777777" w:rsidR="001B3AB4" w:rsidRDefault="001B3AB4">
    <w:pPr>
      <w:tabs>
        <w:tab w:val="left" w:pos="3615"/>
      </w:tabs>
      <w:spacing w:after="0" w:line="240" w:lineRule="auto"/>
      <w:jc w:val="both"/>
      <w:rPr>
        <w:b/>
        <w:sz w:val="2"/>
        <w:szCs w:val="2"/>
      </w:rPr>
    </w:pPr>
  </w:p>
  <w:p w14:paraId="684F3C65" w14:textId="77777777" w:rsidR="001B3AB4" w:rsidRDefault="001B3AB4">
    <w:pPr>
      <w:tabs>
        <w:tab w:val="left" w:pos="3615"/>
      </w:tabs>
      <w:spacing w:after="0" w:line="240" w:lineRule="auto"/>
      <w:jc w:val="both"/>
      <w:rPr>
        <w:b/>
        <w:sz w:val="2"/>
        <w:szCs w:val="2"/>
      </w:rPr>
    </w:pPr>
  </w:p>
  <w:p w14:paraId="42CCEA2C" w14:textId="77777777" w:rsidR="001B3AB4" w:rsidRDefault="001B3AB4">
    <w:pPr>
      <w:tabs>
        <w:tab w:val="left" w:pos="3615"/>
      </w:tabs>
      <w:spacing w:after="0" w:line="240" w:lineRule="auto"/>
      <w:jc w:val="both"/>
      <w:rPr>
        <w:b/>
        <w:sz w:val="2"/>
        <w:szCs w:val="2"/>
      </w:rPr>
    </w:pPr>
  </w:p>
  <w:p w14:paraId="4A408103" w14:textId="77777777" w:rsidR="001B3AB4" w:rsidRDefault="001B3AB4">
    <w:pPr>
      <w:tabs>
        <w:tab w:val="left" w:pos="3615"/>
      </w:tabs>
      <w:spacing w:after="0" w:line="240" w:lineRule="auto"/>
      <w:jc w:val="both"/>
      <w:rPr>
        <w:b/>
        <w:sz w:val="2"/>
        <w:szCs w:val="2"/>
      </w:rPr>
    </w:pPr>
  </w:p>
  <w:p w14:paraId="27A22091" w14:textId="77777777" w:rsidR="001B3AB4" w:rsidRDefault="001B3AB4">
    <w:pPr>
      <w:tabs>
        <w:tab w:val="left" w:pos="3615"/>
      </w:tabs>
      <w:spacing w:after="0" w:line="240" w:lineRule="auto"/>
      <w:jc w:val="both"/>
      <w:rPr>
        <w:b/>
        <w:sz w:val="2"/>
        <w:szCs w:val="2"/>
      </w:rPr>
    </w:pPr>
  </w:p>
  <w:p w14:paraId="11C8114D" w14:textId="77777777" w:rsidR="001B3AB4" w:rsidRDefault="001B3AB4">
    <w:pPr>
      <w:tabs>
        <w:tab w:val="left" w:pos="3615"/>
      </w:tabs>
      <w:spacing w:after="0" w:line="240" w:lineRule="auto"/>
      <w:jc w:val="both"/>
      <w:rPr>
        <w:b/>
        <w:sz w:val="2"/>
        <w:szCs w:val="2"/>
      </w:rPr>
    </w:pPr>
  </w:p>
  <w:p w14:paraId="434C7A69" w14:textId="77777777" w:rsidR="001B3AB4" w:rsidRDefault="001B3AB4">
    <w:pPr>
      <w:tabs>
        <w:tab w:val="left" w:pos="3615"/>
      </w:tabs>
      <w:spacing w:after="0" w:line="240" w:lineRule="auto"/>
      <w:jc w:val="both"/>
      <w:rPr>
        <w:b/>
        <w:sz w:val="2"/>
        <w:szCs w:val="2"/>
      </w:rPr>
    </w:pPr>
  </w:p>
  <w:p w14:paraId="6800D3E7" w14:textId="77777777" w:rsidR="001B3AB4" w:rsidRDefault="001B3AB4">
    <w:pPr>
      <w:tabs>
        <w:tab w:val="left" w:pos="3615"/>
      </w:tabs>
      <w:spacing w:after="0" w:line="240" w:lineRule="auto"/>
      <w:jc w:val="both"/>
      <w:rPr>
        <w:b/>
        <w:sz w:val="2"/>
        <w:szCs w:val="2"/>
      </w:rPr>
    </w:pPr>
  </w:p>
  <w:p w14:paraId="02CE22E2" w14:textId="77777777" w:rsidR="001B3AB4" w:rsidRDefault="001B3AB4">
    <w:pPr>
      <w:tabs>
        <w:tab w:val="left" w:pos="3615"/>
      </w:tabs>
      <w:spacing w:after="0" w:line="240" w:lineRule="auto"/>
      <w:jc w:val="both"/>
      <w:rPr>
        <w:b/>
        <w:sz w:val="2"/>
        <w:szCs w:val="2"/>
      </w:rPr>
    </w:pPr>
  </w:p>
  <w:p w14:paraId="391CE309" w14:textId="77777777" w:rsidR="001B3AB4" w:rsidRDefault="001B3AB4">
    <w:pPr>
      <w:tabs>
        <w:tab w:val="left" w:pos="3615"/>
      </w:tabs>
      <w:spacing w:after="0" w:line="240" w:lineRule="auto"/>
      <w:jc w:val="both"/>
      <w:rPr>
        <w:b/>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96797" w14:textId="77777777" w:rsidR="001B3AB4" w:rsidRDefault="00000000">
    <w:pPr>
      <w:tabs>
        <w:tab w:val="left" w:pos="3615"/>
        <w:tab w:val="left" w:pos="5954"/>
      </w:tabs>
      <w:spacing w:after="0" w:line="240" w:lineRule="auto"/>
      <w:rPr>
        <w:b/>
        <w:sz w:val="36"/>
        <w:szCs w:val="36"/>
      </w:rPr>
    </w:pPr>
    <w:r>
      <w:rPr>
        <w:noProof/>
      </w:rPr>
      <w:drawing>
        <wp:anchor distT="0" distB="0" distL="114300" distR="114300" simplePos="0" relativeHeight="251658240" behindDoc="1" locked="0" layoutInCell="0" allowOverlap="1" wp14:anchorId="5E27C8AD" wp14:editId="374A7090">
          <wp:simplePos x="0" y="0"/>
          <wp:positionH relativeFrom="margin">
            <wp:posOffset>-445135</wp:posOffset>
          </wp:positionH>
          <wp:positionV relativeFrom="margin">
            <wp:posOffset>-1069340</wp:posOffset>
          </wp:positionV>
          <wp:extent cx="1485900" cy="855980"/>
          <wp:effectExtent l="0" t="0" r="0" b="0"/>
          <wp:wrapSquare wrapText="bothSides"/>
          <wp:docPr id="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2"/>
                  <pic:cNvPicPr>
                    <a:picLocks noChangeAspect="1" noChangeArrowheads="1"/>
                  </pic:cNvPicPr>
                </pic:nvPicPr>
                <pic:blipFill>
                  <a:blip r:embed="rId1"/>
                  <a:stretch>
                    <a:fillRect/>
                  </a:stretch>
                </pic:blipFill>
                <pic:spPr bwMode="auto">
                  <a:xfrm>
                    <a:off x="0" y="0"/>
                    <a:ext cx="1485900" cy="855980"/>
                  </a:xfrm>
                  <a:prstGeom prst="rect">
                    <a:avLst/>
                  </a:prstGeom>
                  <a:noFill/>
                </pic:spPr>
              </pic:pic>
            </a:graphicData>
          </a:graphic>
        </wp:anchor>
      </w:drawing>
    </w:r>
    <w:r>
      <w:rPr>
        <w:b/>
        <w:sz w:val="36"/>
        <w:szCs w:val="36"/>
      </w:rPr>
      <w:tab/>
    </w:r>
    <w:r>
      <w:rPr>
        <w:b/>
        <w:sz w:val="36"/>
        <w:szCs w:val="36"/>
      </w:rPr>
      <w:tab/>
      <w:t>TISKOVÁ ZPRÁVA</w:t>
    </w:r>
  </w:p>
  <w:p w14:paraId="52F7E6F8" w14:textId="77777777" w:rsidR="001B3AB4" w:rsidRDefault="001B3AB4">
    <w:pPr>
      <w:tabs>
        <w:tab w:val="left" w:pos="3615"/>
        <w:tab w:val="left" w:pos="5954"/>
      </w:tabs>
      <w:spacing w:after="0" w:line="240" w:lineRule="auto"/>
      <w:jc w:val="right"/>
      <w:rPr>
        <w:b/>
        <w:sz w:val="36"/>
        <w:szCs w:val="36"/>
      </w:rPr>
    </w:pPr>
  </w:p>
  <w:p w14:paraId="0B648D24" w14:textId="77777777" w:rsidR="001B3AB4" w:rsidRDefault="001B3AB4">
    <w:pPr>
      <w:tabs>
        <w:tab w:val="left" w:pos="3615"/>
        <w:tab w:val="left" w:pos="5954"/>
      </w:tabs>
      <w:spacing w:after="0" w:line="240" w:lineRule="auto"/>
      <w:jc w:val="right"/>
      <w:rPr>
        <w:b/>
        <w:sz w:val="2"/>
        <w:szCs w:val="2"/>
      </w:rPr>
    </w:pPr>
  </w:p>
  <w:p w14:paraId="2B8757C6" w14:textId="77777777" w:rsidR="001B3AB4" w:rsidRDefault="001B3AB4">
    <w:pPr>
      <w:tabs>
        <w:tab w:val="left" w:pos="3615"/>
      </w:tabs>
      <w:spacing w:after="0" w:line="240" w:lineRule="auto"/>
      <w:jc w:val="both"/>
      <w:rPr>
        <w:b/>
        <w:sz w:val="2"/>
        <w:szCs w:val="2"/>
      </w:rPr>
    </w:pPr>
  </w:p>
  <w:p w14:paraId="023F1B87" w14:textId="77777777" w:rsidR="001B3AB4" w:rsidRDefault="001B3AB4">
    <w:pPr>
      <w:tabs>
        <w:tab w:val="left" w:pos="3615"/>
      </w:tabs>
      <w:spacing w:after="0" w:line="240" w:lineRule="auto"/>
      <w:jc w:val="both"/>
      <w:rPr>
        <w:b/>
        <w:sz w:val="2"/>
        <w:szCs w:val="2"/>
      </w:rPr>
    </w:pPr>
  </w:p>
  <w:p w14:paraId="4A0FC04A" w14:textId="77777777" w:rsidR="001B3AB4" w:rsidRDefault="001B3AB4">
    <w:pPr>
      <w:tabs>
        <w:tab w:val="left" w:pos="3615"/>
      </w:tabs>
      <w:spacing w:after="0" w:line="240" w:lineRule="auto"/>
      <w:jc w:val="both"/>
      <w:rPr>
        <w:b/>
        <w:sz w:val="2"/>
        <w:szCs w:val="2"/>
      </w:rPr>
    </w:pPr>
  </w:p>
  <w:p w14:paraId="5950C434" w14:textId="77777777" w:rsidR="001B3AB4" w:rsidRDefault="001B3AB4">
    <w:pPr>
      <w:tabs>
        <w:tab w:val="left" w:pos="3615"/>
      </w:tabs>
      <w:spacing w:after="0" w:line="240" w:lineRule="auto"/>
      <w:jc w:val="both"/>
      <w:rPr>
        <w:b/>
        <w:sz w:val="2"/>
        <w:szCs w:val="2"/>
      </w:rPr>
    </w:pPr>
  </w:p>
  <w:p w14:paraId="0A83F043" w14:textId="77777777" w:rsidR="001B3AB4" w:rsidRDefault="001B3AB4">
    <w:pPr>
      <w:tabs>
        <w:tab w:val="left" w:pos="3615"/>
      </w:tabs>
      <w:spacing w:after="0" w:line="240" w:lineRule="auto"/>
      <w:jc w:val="both"/>
      <w:rPr>
        <w:b/>
        <w:sz w:val="2"/>
        <w:szCs w:val="2"/>
      </w:rPr>
    </w:pPr>
  </w:p>
  <w:p w14:paraId="02A4E700" w14:textId="77777777" w:rsidR="001B3AB4" w:rsidRDefault="001B3AB4">
    <w:pPr>
      <w:tabs>
        <w:tab w:val="left" w:pos="3615"/>
      </w:tabs>
      <w:spacing w:after="0" w:line="240" w:lineRule="auto"/>
      <w:jc w:val="both"/>
      <w:rPr>
        <w:b/>
        <w:sz w:val="2"/>
        <w:szCs w:val="2"/>
      </w:rPr>
    </w:pPr>
  </w:p>
  <w:p w14:paraId="0B3EA85F" w14:textId="77777777" w:rsidR="001B3AB4" w:rsidRDefault="001B3AB4">
    <w:pPr>
      <w:tabs>
        <w:tab w:val="left" w:pos="3615"/>
      </w:tabs>
      <w:spacing w:after="0" w:line="240" w:lineRule="auto"/>
      <w:jc w:val="both"/>
      <w:rPr>
        <w:b/>
        <w:sz w:val="2"/>
        <w:szCs w:val="2"/>
      </w:rPr>
    </w:pPr>
  </w:p>
  <w:p w14:paraId="7DCDEEEC" w14:textId="77777777" w:rsidR="001B3AB4" w:rsidRDefault="001B3AB4">
    <w:pPr>
      <w:tabs>
        <w:tab w:val="left" w:pos="3615"/>
      </w:tabs>
      <w:spacing w:after="0" w:line="240" w:lineRule="auto"/>
      <w:jc w:val="both"/>
      <w:rPr>
        <w:b/>
        <w:sz w:val="2"/>
        <w:szCs w:val="2"/>
      </w:rPr>
    </w:pPr>
  </w:p>
  <w:p w14:paraId="6053BD39" w14:textId="77777777" w:rsidR="001B3AB4" w:rsidRDefault="001B3AB4">
    <w:pPr>
      <w:tabs>
        <w:tab w:val="left" w:pos="3615"/>
      </w:tabs>
      <w:spacing w:after="0" w:line="240" w:lineRule="auto"/>
      <w:jc w:val="both"/>
      <w:rPr>
        <w:b/>
        <w:sz w:val="2"/>
        <w:szCs w:val="2"/>
      </w:rPr>
    </w:pPr>
  </w:p>
  <w:p w14:paraId="078F1B30" w14:textId="77777777" w:rsidR="001B3AB4" w:rsidRDefault="001B3AB4">
    <w:pPr>
      <w:tabs>
        <w:tab w:val="left" w:pos="3615"/>
      </w:tabs>
      <w:spacing w:after="0" w:line="240" w:lineRule="auto"/>
      <w:jc w:val="both"/>
      <w:rPr>
        <w:b/>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AB4"/>
    <w:rsid w:val="00014258"/>
    <w:rsid w:val="001B3AB4"/>
    <w:rsid w:val="005E5001"/>
    <w:rsid w:val="00962106"/>
    <w:rsid w:val="009A1450"/>
    <w:rsid w:val="00DC3BB5"/>
    <w:rsid w:val="00EF6401"/>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2296D"/>
  <w15:docId w15:val="{EE787630-1B50-4EA6-ABDC-71FE07197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rsid w:val="00996B67"/>
  </w:style>
  <w:style w:type="character" w:customStyle="1" w:styleId="ZpatChar">
    <w:name w:val="Zápatí Char"/>
    <w:basedOn w:val="Standardnpsmoodstavce"/>
    <w:link w:val="Zpat"/>
    <w:uiPriority w:val="99"/>
    <w:rsid w:val="00996B67"/>
  </w:style>
  <w:style w:type="character" w:styleId="Hypertextovodkaz">
    <w:name w:val="Hyperlink"/>
    <w:basedOn w:val="Standardnpsmoodstavce"/>
    <w:uiPriority w:val="99"/>
    <w:unhideWhenUsed/>
    <w:rsid w:val="00280A60"/>
    <w:rPr>
      <w:color w:val="0000FF" w:themeColor="hyperlink"/>
      <w:u w:val="single"/>
    </w:rPr>
  </w:style>
  <w:style w:type="character" w:customStyle="1" w:styleId="Nevyeenzmnka1">
    <w:name w:val="Nevyřešená zmínka1"/>
    <w:basedOn w:val="Standardnpsmoodstavce"/>
    <w:uiPriority w:val="99"/>
    <w:semiHidden/>
    <w:unhideWhenUsed/>
    <w:rsid w:val="00280A60"/>
    <w:rPr>
      <w:color w:val="605E5C"/>
      <w:shd w:val="clear" w:color="auto" w:fill="E1DFDD"/>
    </w:rPr>
  </w:style>
  <w:style w:type="character" w:styleId="Sledovanodkaz">
    <w:name w:val="FollowedHyperlink"/>
    <w:basedOn w:val="Standardnpsmoodstavce"/>
    <w:uiPriority w:val="99"/>
    <w:semiHidden/>
    <w:unhideWhenUsed/>
    <w:rsid w:val="00023C3C"/>
    <w:rPr>
      <w:color w:val="800080" w:themeColor="followedHyperlink"/>
      <w:u w:val="single"/>
    </w:rPr>
  </w:style>
  <w:style w:type="character" w:styleId="Odkaznakoment">
    <w:name w:val="annotation reference"/>
    <w:basedOn w:val="Standardnpsmoodstavce"/>
    <w:uiPriority w:val="99"/>
    <w:semiHidden/>
    <w:unhideWhenUsed/>
    <w:rsid w:val="0069636B"/>
    <w:rPr>
      <w:sz w:val="16"/>
      <w:szCs w:val="16"/>
    </w:rPr>
  </w:style>
  <w:style w:type="character" w:customStyle="1" w:styleId="TextkomenteChar">
    <w:name w:val="Text komentáře Char"/>
    <w:basedOn w:val="Standardnpsmoodstavce"/>
    <w:link w:val="Textkomente"/>
    <w:uiPriority w:val="99"/>
    <w:semiHidden/>
    <w:rsid w:val="0069636B"/>
    <w:rPr>
      <w:sz w:val="20"/>
      <w:szCs w:val="20"/>
    </w:rPr>
  </w:style>
  <w:style w:type="character" w:customStyle="1" w:styleId="PedmtkomenteChar">
    <w:name w:val="Předmět komentáře Char"/>
    <w:basedOn w:val="TextkomenteChar"/>
    <w:link w:val="Pedmtkomente"/>
    <w:uiPriority w:val="99"/>
    <w:semiHidden/>
    <w:rsid w:val="0069636B"/>
    <w:rPr>
      <w:b/>
      <w:bCs/>
      <w:sz w:val="20"/>
      <w:szCs w:val="20"/>
    </w:rPr>
  </w:style>
  <w:style w:type="character" w:customStyle="1" w:styleId="TextbublinyChar">
    <w:name w:val="Text bubliny Char"/>
    <w:basedOn w:val="Standardnpsmoodstavce"/>
    <w:link w:val="Textbubliny"/>
    <w:uiPriority w:val="99"/>
    <w:semiHidden/>
    <w:rsid w:val="0069636B"/>
    <w:rPr>
      <w:rFonts w:ascii="Segoe UI" w:hAnsi="Segoe UI" w:cs="Segoe UI"/>
      <w:sz w:val="18"/>
      <w:szCs w:val="18"/>
    </w:rPr>
  </w:style>
  <w:style w:type="character" w:styleId="Zdraznn">
    <w:name w:val="Emphasis"/>
    <w:basedOn w:val="Standardnpsmoodstavce"/>
    <w:uiPriority w:val="20"/>
    <w:qFormat/>
    <w:rsid w:val="00C22209"/>
    <w:rPr>
      <w:i/>
      <w:iCs/>
    </w:rPr>
  </w:style>
  <w:style w:type="character" w:customStyle="1" w:styleId="Nevyeenzmnka2">
    <w:name w:val="Nevyřešená zmínka2"/>
    <w:basedOn w:val="Standardnpsmoodstavce"/>
    <w:uiPriority w:val="99"/>
    <w:semiHidden/>
    <w:unhideWhenUsed/>
    <w:rsid w:val="00516819"/>
    <w:rPr>
      <w:color w:val="605E5C"/>
      <w:shd w:val="clear" w:color="auto" w:fill="E1DFDD"/>
    </w:rPr>
  </w:style>
  <w:style w:type="character" w:customStyle="1" w:styleId="Nevyeenzmnka3">
    <w:name w:val="Nevyřešená zmínka3"/>
    <w:basedOn w:val="Standardnpsmoodstavce"/>
    <w:uiPriority w:val="99"/>
    <w:semiHidden/>
    <w:unhideWhenUsed/>
    <w:rsid w:val="001F6934"/>
    <w:rPr>
      <w:color w:val="605E5C"/>
      <w:shd w:val="clear" w:color="auto" w:fill="E1DFDD"/>
    </w:rPr>
  </w:style>
  <w:style w:type="character" w:customStyle="1" w:styleId="Nevyeenzmnka4">
    <w:name w:val="Nevyřešená zmínka4"/>
    <w:basedOn w:val="Standardnpsmoodstavce"/>
    <w:uiPriority w:val="99"/>
    <w:semiHidden/>
    <w:unhideWhenUsed/>
    <w:rsid w:val="006E5FBD"/>
    <w:rPr>
      <w:color w:val="605E5C"/>
      <w:shd w:val="clear" w:color="auto" w:fill="E1DFDD"/>
    </w:rPr>
  </w:style>
  <w:style w:type="character" w:styleId="Nevyeenzmnka">
    <w:name w:val="Unresolved Mention"/>
    <w:basedOn w:val="Standardnpsmoodstavce"/>
    <w:uiPriority w:val="99"/>
    <w:semiHidden/>
    <w:unhideWhenUsed/>
    <w:rsid w:val="00A4628E"/>
    <w:rPr>
      <w:color w:val="605E5C"/>
      <w:shd w:val="clear" w:color="auto" w:fill="E1DFDD"/>
    </w:rPr>
  </w:style>
  <w:style w:type="character" w:styleId="slodku">
    <w:name w:val="line number"/>
  </w:style>
  <w:style w:type="paragraph" w:customStyle="1" w:styleId="Heading">
    <w:name w:val="Heading"/>
    <w:basedOn w:val="Normln"/>
    <w:next w:val="Zkladntext"/>
    <w:pPr>
      <w:keepNext/>
      <w:spacing w:before="240" w:after="120"/>
    </w:pPr>
    <w:rPr>
      <w:rFonts w:ascii="Carlito" w:eastAsia="Noto Sans CJK SC" w:hAnsi="Carlito" w:cs="Noto Serif Devanagari"/>
      <w:sz w:val="28"/>
      <w:szCs w:val="28"/>
    </w:rPr>
  </w:style>
  <w:style w:type="paragraph" w:styleId="Zkladntext">
    <w:name w:val="Body Text"/>
    <w:basedOn w:val="Normln"/>
    <w:pPr>
      <w:spacing w:after="140"/>
    </w:pPr>
  </w:style>
  <w:style w:type="paragraph" w:styleId="Seznam">
    <w:name w:val="List"/>
    <w:basedOn w:val="Zkladntext"/>
    <w:rPr>
      <w:rFonts w:cs="Noto Serif Devanagari"/>
    </w:rPr>
  </w:style>
  <w:style w:type="paragraph" w:styleId="Titulek">
    <w:name w:val="caption"/>
    <w:basedOn w:val="Normln"/>
    <w:pPr>
      <w:suppressLineNumbers/>
      <w:spacing w:before="120" w:after="120"/>
    </w:pPr>
    <w:rPr>
      <w:rFonts w:cs="Noto Serif Devanagari"/>
      <w:i/>
      <w:iCs/>
      <w:sz w:val="24"/>
      <w:szCs w:val="24"/>
    </w:rPr>
  </w:style>
  <w:style w:type="paragraph" w:customStyle="1" w:styleId="Index">
    <w:name w:val="Index"/>
    <w:basedOn w:val="Normln"/>
    <w:pPr>
      <w:suppressLineNumbers/>
    </w:pPr>
    <w:rPr>
      <w:rFonts w:cs="Noto Serif Devanagari"/>
    </w:r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customStyle="1" w:styleId="HeaderandFooter">
    <w:name w:val="Header and Footer"/>
    <w:basedOn w:val="Normln"/>
  </w:style>
  <w:style w:type="paragraph" w:styleId="Zhlav">
    <w:name w:val="header"/>
    <w:basedOn w:val="Normln"/>
    <w:link w:val="ZhlavChar"/>
    <w:uiPriority w:val="99"/>
    <w:unhideWhenUsed/>
    <w:rsid w:val="00996B67"/>
    <w:pPr>
      <w:tabs>
        <w:tab w:val="center" w:pos="4536"/>
        <w:tab w:val="right" w:pos="9072"/>
      </w:tabs>
      <w:spacing w:after="0" w:line="240" w:lineRule="auto"/>
    </w:pPr>
  </w:style>
  <w:style w:type="paragraph" w:styleId="Zpat">
    <w:name w:val="footer"/>
    <w:basedOn w:val="Normln"/>
    <w:link w:val="ZpatChar"/>
    <w:uiPriority w:val="99"/>
    <w:unhideWhenUsed/>
    <w:rsid w:val="00996B67"/>
    <w:pPr>
      <w:tabs>
        <w:tab w:val="center" w:pos="4536"/>
        <w:tab w:val="right" w:pos="9072"/>
      </w:tabs>
      <w:spacing w:after="0" w:line="240" w:lineRule="auto"/>
    </w:pPr>
  </w:style>
  <w:style w:type="paragraph" w:styleId="Textkomente">
    <w:name w:val="annotation text"/>
    <w:basedOn w:val="Normln"/>
    <w:link w:val="TextkomenteChar"/>
    <w:uiPriority w:val="99"/>
    <w:semiHidden/>
    <w:unhideWhenUsed/>
    <w:rsid w:val="0069636B"/>
    <w:pPr>
      <w:spacing w:line="240" w:lineRule="auto"/>
    </w:pPr>
    <w:rPr>
      <w:sz w:val="20"/>
      <w:szCs w:val="20"/>
    </w:rPr>
  </w:style>
  <w:style w:type="paragraph" w:styleId="Pedmtkomente">
    <w:name w:val="annotation subject"/>
    <w:basedOn w:val="Textkomente"/>
    <w:next w:val="Textkomente"/>
    <w:link w:val="PedmtkomenteChar"/>
    <w:uiPriority w:val="99"/>
    <w:semiHidden/>
    <w:unhideWhenUsed/>
    <w:rsid w:val="0069636B"/>
    <w:rPr>
      <w:b/>
      <w:bCs/>
    </w:rPr>
  </w:style>
  <w:style w:type="paragraph" w:styleId="Revize">
    <w:name w:val="Revision"/>
    <w:uiPriority w:val="99"/>
    <w:semiHidden/>
    <w:rsid w:val="0069636B"/>
  </w:style>
  <w:style w:type="paragraph" w:styleId="Textbubliny">
    <w:name w:val="Balloon Text"/>
    <w:basedOn w:val="Normln"/>
    <w:link w:val="TextbublinyChar"/>
    <w:uiPriority w:val="99"/>
    <w:semiHidden/>
    <w:unhideWhenUsed/>
    <w:rsid w:val="0069636B"/>
    <w:pPr>
      <w:spacing w:after="0" w:line="240" w:lineRule="auto"/>
    </w:pPr>
    <w:rPr>
      <w:rFonts w:ascii="Segoe UI" w:hAnsi="Segoe UI" w:cs="Segoe UI"/>
      <w:sz w:val="18"/>
      <w:szCs w:val="18"/>
    </w:rPr>
  </w:style>
  <w:style w:type="paragraph" w:styleId="Odstavecseseznamem">
    <w:name w:val="List Paragraph"/>
    <w:basedOn w:val="Normln"/>
    <w:uiPriority w:val="34"/>
    <w:qFormat/>
    <w:rsid w:val="00997EEC"/>
    <w:pPr>
      <w:ind w:left="720"/>
      <w:contextualSpacing/>
    </w:pPr>
  </w:style>
  <w:style w:type="table" w:customStyle="1" w:styleId="TableNormal1">
    <w:name w:val="Table Normal1"/>
    <w:tblPr>
      <w:tblCellMar>
        <w:top w:w="0" w:type="dxa"/>
        <w:left w:w="0" w:type="dxa"/>
        <w:bottom w:w="0" w:type="dxa"/>
        <w:right w:w="0" w:type="dxa"/>
      </w:tblCellMar>
    </w:tblPr>
  </w:style>
  <w:style w:type="table" w:styleId="Mkatabulky">
    <w:name w:val="Table Grid"/>
    <w:basedOn w:val="Normlntabulka"/>
    <w:uiPriority w:val="39"/>
    <w:rsid w:val="006513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tatistikaamy.csu.gov.cz/predcasne-odchody-ze-studia"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c.europa.eu/eurostat/databrowser/view/edat_lfse_14/default/table?lang=en" TargetMode="External"/><Relationship Id="rId12" Type="http://schemas.openxmlformats.org/officeDocument/2006/relationships/hyperlink" Target="http://www.jaczech.org/"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juniorachievement.or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eliska@pearmedia.cz"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05360"/>
              </a:schemeClr>
            </a:gs>
          </a:gsLst>
          <a:lin ang="16200000" scaled="1"/>
          <a:tileRect/>
        </a:gradFill>
        <a:gradFill>
          <a:gsLst>
            <a:gs pos="0">
              <a:schemeClr val="phClr">
                <a:tint val="100000"/>
                <a:shade val="100000"/>
                <a:satMod val="130000"/>
              </a:schemeClr>
            </a:gs>
            <a:gs pos="100000">
              <a:schemeClr val="phClr">
                <a:tint val="50000"/>
                <a:shade val="100000"/>
                <a:satMod val="-30536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atMod val="-305360"/>
              </a:schemeClr>
            </a:gs>
            <a:gs pos="40000">
              <a:schemeClr val="phClr">
                <a:tint val="45000"/>
                <a:shade val="99000"/>
                <a:satMod val="-305360"/>
              </a:schemeClr>
            </a:gs>
            <a:gs pos="100000">
              <a:schemeClr val="phClr">
                <a:shade val="20000"/>
                <a:satMod val="255000"/>
              </a:schemeClr>
            </a:gs>
          </a:gsLst>
          <a:path path="circle">
            <a:fillToRect l="50000" t="-80000" r="50000" b="180000"/>
          </a:path>
          <a:tileRect/>
        </a:gradFill>
        <a:gradFill>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44111-A9C0-7C47-8FC4-766299DA83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1062</Words>
  <Characters>6268</Characters>
  <Application>Microsoft Office Word</Application>
  <DocSecurity>0</DocSecurity>
  <Lines>52</Lines>
  <Paragraphs>14</Paragraphs>
  <ScaleCrop>false</ScaleCrop>
  <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Eliška</dc:creator>
  <dc:description/>
  <cp:lastModifiedBy>eliska</cp:lastModifiedBy>
  <cp:revision>3</cp:revision>
  <dcterms:created xsi:type="dcterms:W3CDTF">2026-09-25T08:45:00Z</dcterms:created>
  <dcterms:modified xsi:type="dcterms:W3CDTF">2026-09-29T20:20:00Z</dcterms:modified>
  <dc:language>cs-CZ</dc:language>
</cp:coreProperties>
</file>