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5394D" w14:textId="77777777" w:rsidR="007D2FDD" w:rsidRDefault="00000000">
      <w:pPr>
        <w:jc w:val="center"/>
        <w:rPr>
          <w:rFonts w:ascii="Tahoma" w:eastAsia="Tahoma" w:hAnsi="Tahoma" w:cs="Tahoma"/>
          <w:b/>
          <w:bCs/>
          <w:sz w:val="37"/>
          <w:szCs w:val="37"/>
        </w:rPr>
      </w:pPr>
      <w:bookmarkStart w:id="0" w:name="_Hlk237254438"/>
      <w:r>
        <w:rPr>
          <w:rFonts w:ascii="Tahoma" w:eastAsia="Tahoma" w:hAnsi="Tahoma" w:cs="Tahoma"/>
          <w:b/>
          <w:bCs/>
          <w:sz w:val="37"/>
          <w:szCs w:val="37"/>
        </w:rPr>
        <w:t>Pravda o ústních vodách: Svěží dech neznamená zdravé zuby, zakrýt může vážný problém</w:t>
      </w:r>
    </w:p>
    <w:p w14:paraId="6B83EE06" w14:textId="77777777" w:rsidR="007D2FDD" w:rsidRDefault="00000000">
      <w:pPr>
        <w:jc w:val="both"/>
        <w:rPr>
          <w:rFonts w:ascii="Tahoma" w:eastAsia="Tahoma" w:hAnsi="Tahoma" w:cs="Tahoma"/>
          <w:b/>
          <w:bCs/>
          <w:sz w:val="21"/>
          <w:szCs w:val="21"/>
        </w:rPr>
      </w:pPr>
      <w:r>
        <w:rPr>
          <w:rFonts w:ascii="Tahoma" w:eastAsia="Tahoma" w:hAnsi="Tahoma" w:cs="Tahoma"/>
          <w:b/>
          <w:bCs/>
          <w:sz w:val="21"/>
          <w:szCs w:val="21"/>
        </w:rPr>
        <w:t>PRAHA, 6. ŘÍJNA 2026 – Příjemná mentolová chuť, pocit dokonale čistých zubů a svěží dech – právě na to ústní vody lákají. Jenže pocit svěžesti ještě neznamená zdravá ústa. Ústní voda může zápach pouze dočasně překrýt, zatímco jeho skutečná příčina v ústech zůstává a nenápadně se zhoršuje.</w:t>
      </w:r>
    </w:p>
    <w:p w14:paraId="3F4F5F14" w14:textId="77777777" w:rsidR="007D2FDD" w:rsidRDefault="00000000">
      <w:pPr>
        <w:jc w:val="both"/>
        <w:rPr>
          <w:rFonts w:ascii="Tahoma" w:eastAsia="Tahoma" w:hAnsi="Tahoma" w:cs="Tahoma"/>
          <w:sz w:val="21"/>
          <w:szCs w:val="21"/>
        </w:rPr>
      </w:pPr>
      <w:r>
        <w:rPr>
          <w:rFonts w:ascii="Tahoma" w:eastAsia="Tahoma" w:hAnsi="Tahoma" w:cs="Tahoma"/>
          <w:sz w:val="21"/>
          <w:szCs w:val="21"/>
        </w:rPr>
        <w:t xml:space="preserve">Zápach z úst často souvisí se zubním povlakem, zánětem dásní, kazem nebo onemocněním závěsného aparátu zubu. </w:t>
      </w:r>
      <w:r>
        <w:rPr>
          <w:rFonts w:ascii="Tahoma" w:eastAsia="Tahoma" w:hAnsi="Tahoma" w:cs="Tahoma"/>
          <w:color w:val="CC9900"/>
          <w:sz w:val="21"/>
          <w:szCs w:val="21"/>
        </w:rPr>
        <w:t xml:space="preserve">„Pokud někoho trápí zápach z úst, není řešením pouze koupit silnější ústní vodu, je potřeba zjistit, odkud zápach pochází. Hlavním zdrojem zápachu z úst bývá neodstraněný bakteriální povlak na zubech a v okolí dásní. Bakterie v něm obsažené rozkládají zbytky potravy a produkují látky, které způsobují nepříjemný zápach a mohou přispívat ke vzniku zánětu dásní. Problém bývá zejména v nedostatečně čištěných mezizubních prostorech. Hromadění plaku zvyšuje riziko zubního kazu, zánětu dásní a následně i </w:t>
      </w:r>
      <w:proofErr w:type="spellStart"/>
      <w:r>
        <w:rPr>
          <w:rFonts w:ascii="Tahoma" w:eastAsia="Tahoma" w:hAnsi="Tahoma" w:cs="Tahoma"/>
          <w:color w:val="CC9900"/>
          <w:sz w:val="21"/>
          <w:szCs w:val="21"/>
        </w:rPr>
        <w:t>parodontitidy</w:t>
      </w:r>
      <w:proofErr w:type="spellEnd"/>
      <w:r>
        <w:rPr>
          <w:rFonts w:ascii="Tahoma" w:eastAsia="Tahoma" w:hAnsi="Tahoma" w:cs="Tahoma"/>
          <w:color w:val="CC9900"/>
          <w:sz w:val="21"/>
          <w:szCs w:val="21"/>
        </w:rPr>
        <w:t xml:space="preserve">, která může dlouho probíhat téměř bez bolesti, přesto postupně poškozovat tkáně držící zub a vést až k jeho vypadnutí. Jedním z prvních příznaků může být právě zápach z úst,“ </w:t>
      </w:r>
      <w:r>
        <w:rPr>
          <w:rFonts w:ascii="Tahoma" w:eastAsia="Tahoma" w:hAnsi="Tahoma" w:cs="Tahoma"/>
          <w:sz w:val="21"/>
          <w:szCs w:val="21"/>
        </w:rPr>
        <w:t xml:space="preserve">popsal Jakub Hladík, zubní lékař centra stomatologie </w:t>
      </w:r>
      <w:hyperlink r:id="rId6">
        <w:proofErr w:type="spellStart"/>
        <w:r>
          <w:rPr>
            <w:rFonts w:ascii="Tahoma" w:eastAsia="Tahoma" w:hAnsi="Tahoma" w:cs="Tahoma"/>
            <w:color w:val="0000FF"/>
            <w:sz w:val="21"/>
            <w:szCs w:val="21"/>
            <w:u w:val="single"/>
          </w:rPr>
          <w:t>The</w:t>
        </w:r>
        <w:proofErr w:type="spellEnd"/>
        <w:r>
          <w:rPr>
            <w:rFonts w:ascii="Tahoma" w:eastAsia="Tahoma" w:hAnsi="Tahoma" w:cs="Tahoma"/>
            <w:color w:val="0000FF"/>
            <w:sz w:val="21"/>
            <w:szCs w:val="21"/>
            <w:u w:val="single"/>
          </w:rPr>
          <w:t xml:space="preserve"> </w:t>
        </w:r>
        <w:proofErr w:type="spellStart"/>
        <w:r>
          <w:rPr>
            <w:rFonts w:ascii="Tahoma" w:eastAsia="Tahoma" w:hAnsi="Tahoma" w:cs="Tahoma"/>
            <w:color w:val="0000FF"/>
            <w:sz w:val="21"/>
            <w:szCs w:val="21"/>
            <w:u w:val="single"/>
          </w:rPr>
          <w:t>Clinic</w:t>
        </w:r>
        <w:proofErr w:type="spellEnd"/>
      </w:hyperlink>
      <w:r>
        <w:rPr>
          <w:rFonts w:ascii="Tahoma" w:eastAsia="Tahoma" w:hAnsi="Tahoma" w:cs="Tahoma"/>
          <w:sz w:val="21"/>
          <w:szCs w:val="21"/>
        </w:rPr>
        <w:t xml:space="preserve"> a člen České stomatologické komory.</w:t>
      </w:r>
    </w:p>
    <w:p w14:paraId="62FF68B1" w14:textId="77777777" w:rsidR="007D2FDD" w:rsidRDefault="00000000">
      <w:pPr>
        <w:jc w:val="both"/>
        <w:rPr>
          <w:rFonts w:ascii="Tahoma" w:eastAsia="Tahoma" w:hAnsi="Tahoma" w:cs="Tahoma"/>
          <w:color w:val="0000FF"/>
          <w:sz w:val="21"/>
          <w:szCs w:val="21"/>
          <w:u w:val="single"/>
        </w:rPr>
      </w:pPr>
      <w:r>
        <w:rPr>
          <w:rFonts w:ascii="Tahoma" w:eastAsia="Tahoma" w:hAnsi="Tahoma" w:cs="Tahoma"/>
          <w:sz w:val="21"/>
          <w:szCs w:val="21"/>
        </w:rPr>
        <w:t xml:space="preserve">Pokud člověk používá ústní vodu několikrát denně jen proto, aby měl stále svěží dech, může podlehnout falešné iluzi, že má ústní hygienu pod kontrolou. </w:t>
      </w:r>
      <w:r>
        <w:rPr>
          <w:rFonts w:ascii="Tahoma" w:eastAsia="Tahoma" w:hAnsi="Tahoma" w:cs="Tahoma"/>
          <w:color w:val="CC9900"/>
          <w:sz w:val="21"/>
          <w:szCs w:val="21"/>
        </w:rPr>
        <w:t>„Ústní voda nikdy nemůže nahradit mechanické odstranění zubního povlaku. Pokud člověk pouze vypláchne ústa, ale neodstraní povlak kartáčkem a mezizubními pomůckami, problém v ústech zůstává. Ústní voda může do určité míry ovlivnit množství bakterií nebo dočasně osvěžit dech, ale nedokáže odstranit pevně ulpívající povlak ze zubů a mezizubních prostor. Ústní voda může být užitečným pomocníkem v konkrétní situaci, ale rozhodně není tekutou náhradou klasického ani mezizubního kartáčku,“</w:t>
      </w:r>
      <w:r>
        <w:rPr>
          <w:rFonts w:ascii="Tahoma" w:eastAsia="Tahoma" w:hAnsi="Tahoma" w:cs="Tahoma"/>
          <w:sz w:val="21"/>
          <w:szCs w:val="21"/>
        </w:rPr>
        <w:t xml:space="preserve"> řekla Kateřina </w:t>
      </w:r>
      <w:proofErr w:type="spellStart"/>
      <w:r>
        <w:rPr>
          <w:rFonts w:ascii="Tahoma" w:eastAsia="Tahoma" w:hAnsi="Tahoma" w:cs="Tahoma"/>
          <w:sz w:val="21"/>
          <w:szCs w:val="21"/>
        </w:rPr>
        <w:t>Jurenková</w:t>
      </w:r>
      <w:proofErr w:type="spellEnd"/>
      <w:r>
        <w:rPr>
          <w:rFonts w:ascii="Tahoma" w:eastAsia="Tahoma" w:hAnsi="Tahoma" w:cs="Tahoma"/>
          <w:sz w:val="21"/>
          <w:szCs w:val="21"/>
        </w:rPr>
        <w:t xml:space="preserve">, dentální hygienistka centra stomatologie </w:t>
      </w:r>
      <w:proofErr w:type="spellStart"/>
      <w:r>
        <w:rPr>
          <w:rFonts w:ascii="Tahoma" w:hAnsi="Tahoma" w:cs="Tahoma"/>
          <w:sz w:val="21"/>
          <w:szCs w:val="21"/>
        </w:rPr>
        <w:t>The</w:t>
      </w:r>
      <w:proofErr w:type="spellEnd"/>
      <w:r>
        <w:rPr>
          <w:rFonts w:ascii="Tahoma" w:hAnsi="Tahoma" w:cs="Tahoma"/>
          <w:sz w:val="21"/>
          <w:szCs w:val="21"/>
        </w:rPr>
        <w:t xml:space="preserve"> </w:t>
      </w:r>
      <w:proofErr w:type="spellStart"/>
      <w:r>
        <w:rPr>
          <w:rFonts w:ascii="Tahoma" w:hAnsi="Tahoma" w:cs="Tahoma"/>
          <w:sz w:val="21"/>
          <w:szCs w:val="21"/>
        </w:rPr>
        <w:t>Clinic</w:t>
      </w:r>
      <w:proofErr w:type="spellEnd"/>
      <w:r>
        <w:rPr>
          <w:rFonts w:ascii="Tahoma" w:hAnsi="Tahoma" w:cs="Tahoma"/>
          <w:sz w:val="21"/>
          <w:szCs w:val="21"/>
        </w:rPr>
        <w:t>.</w:t>
      </w:r>
    </w:p>
    <w:p w14:paraId="7B6033C0" w14:textId="77777777" w:rsidR="007D2FDD" w:rsidRDefault="00000000">
      <w:pPr>
        <w:jc w:val="both"/>
        <w:rPr>
          <w:rFonts w:ascii="Tahoma" w:eastAsia="Tahoma" w:hAnsi="Tahoma" w:cs="Tahoma"/>
          <w:color w:val="0000FF"/>
          <w:sz w:val="21"/>
          <w:szCs w:val="21"/>
          <w:u w:val="single"/>
        </w:rPr>
      </w:pPr>
      <w:r>
        <w:rPr>
          <w:rFonts w:ascii="Tahoma" w:eastAsia="Tahoma" w:hAnsi="Tahoma" w:cs="Tahoma"/>
          <w:sz w:val="21"/>
          <w:szCs w:val="21"/>
        </w:rPr>
        <w:t xml:space="preserve">Ústní voda není zárukou zdravých zubů a neplatí, že čím častěji ji člověk používá, tím lépe. U zdravého člověka, který si správně čistí zuby a mezizubní prostory, nemusí být součástí základní hygieny. </w:t>
      </w:r>
      <w:r>
        <w:rPr>
          <w:rFonts w:ascii="Tahoma" w:eastAsia="Tahoma" w:hAnsi="Tahoma" w:cs="Tahoma"/>
          <w:color w:val="CC9900"/>
          <w:sz w:val="21"/>
          <w:szCs w:val="21"/>
        </w:rPr>
        <w:t xml:space="preserve">„Pokud člověk nemá konkrétní důvod nebo doporučení odborníka, není potřeba ústní vodu používat automaticky každý den. Ústní voda navíc může vytvořit nebezpečnou iluzi, že je o hygienu postaráno, i když na zubech a mezi nimi zůstává bakteriální povlak. Pokud tedy nemá člověk konkrétní důvod nebo doporučení odborníka, měla by být ústní voda spíše příležitostným doplňkem než automatickým každodenním rituálem. Základem péče o chrup zůstává mechanické čištění zubů a mezizubních prostor,“ </w:t>
      </w:r>
      <w:r>
        <w:rPr>
          <w:rFonts w:ascii="Tahoma" w:eastAsia="Tahoma" w:hAnsi="Tahoma" w:cs="Tahoma"/>
          <w:sz w:val="21"/>
          <w:szCs w:val="21"/>
        </w:rPr>
        <w:t>zdůraznila dentální hygienistka</w:t>
      </w:r>
      <w:r>
        <w:rPr>
          <w:rFonts w:ascii="Tahoma" w:hAnsi="Tahoma" w:cs="Tahoma"/>
          <w:sz w:val="21"/>
          <w:szCs w:val="21"/>
        </w:rPr>
        <w:t>.</w:t>
      </w:r>
    </w:p>
    <w:p w14:paraId="34AE4AB5" w14:textId="77777777" w:rsidR="007D2FDD" w:rsidRDefault="00000000">
      <w:pPr>
        <w:jc w:val="both"/>
        <w:rPr>
          <w:rFonts w:ascii="Tahoma" w:eastAsia="Tahoma" w:hAnsi="Tahoma" w:cs="Tahoma"/>
          <w:sz w:val="21"/>
          <w:szCs w:val="21"/>
        </w:rPr>
      </w:pPr>
      <w:r>
        <w:rPr>
          <w:rFonts w:ascii="Tahoma" w:eastAsia="Tahoma" w:hAnsi="Tahoma" w:cs="Tahoma"/>
          <w:sz w:val="21"/>
          <w:szCs w:val="21"/>
        </w:rPr>
        <w:t xml:space="preserve">U někoho mohou ústní vody zápach z úst dokonce zhoršit. </w:t>
      </w:r>
      <w:r>
        <w:rPr>
          <w:rFonts w:ascii="Tahoma" w:eastAsia="Tahoma" w:hAnsi="Tahoma" w:cs="Tahoma"/>
          <w:color w:val="CC9900"/>
          <w:sz w:val="21"/>
          <w:szCs w:val="21"/>
        </w:rPr>
        <w:t>„Klasické ústní vody často obsahují mentol, esenciální oleje, alkohol nebo antibakteriální látky. Alkohol může u některých lidí přispívat k vysušování sliznic. Sucho v ústech není jen nepříjemné. Nedostatek slin může zhoršovat přirozené čištění dutiny ústní a u některých lidí přispívat k výraznějšímu zápachu,“</w:t>
      </w:r>
      <w:r>
        <w:rPr>
          <w:rFonts w:ascii="Tahoma" w:eastAsia="Tahoma" w:hAnsi="Tahoma" w:cs="Tahoma"/>
          <w:sz w:val="21"/>
          <w:szCs w:val="21"/>
        </w:rPr>
        <w:t xml:space="preserve"> upozornila Kateřina </w:t>
      </w:r>
      <w:proofErr w:type="spellStart"/>
      <w:r>
        <w:rPr>
          <w:rFonts w:ascii="Tahoma" w:eastAsia="Tahoma" w:hAnsi="Tahoma" w:cs="Tahoma"/>
          <w:sz w:val="21"/>
          <w:szCs w:val="21"/>
        </w:rPr>
        <w:t>Jurenková</w:t>
      </w:r>
      <w:proofErr w:type="spellEnd"/>
      <w:r>
        <w:rPr>
          <w:rFonts w:ascii="Tahoma" w:eastAsia="Tahoma" w:hAnsi="Tahoma" w:cs="Tahoma"/>
          <w:sz w:val="21"/>
          <w:szCs w:val="21"/>
        </w:rPr>
        <w:t>.</w:t>
      </w:r>
    </w:p>
    <w:p w14:paraId="1D74C245" w14:textId="77777777" w:rsidR="007D2FDD" w:rsidRDefault="007D2FDD">
      <w:pPr>
        <w:jc w:val="both"/>
        <w:rPr>
          <w:rFonts w:ascii="Tahoma" w:eastAsia="Tahoma" w:hAnsi="Tahoma" w:cs="Tahoma"/>
          <w:sz w:val="21"/>
          <w:szCs w:val="21"/>
        </w:rPr>
      </w:pPr>
    </w:p>
    <w:p w14:paraId="234D939B" w14:textId="77777777" w:rsidR="007D2FDD" w:rsidRDefault="00000000">
      <w:pPr>
        <w:jc w:val="both"/>
        <w:rPr>
          <w:rFonts w:ascii="Tahoma" w:eastAsia="Tahoma" w:hAnsi="Tahoma" w:cs="Tahoma"/>
          <w:color w:val="CC9900"/>
          <w:sz w:val="21"/>
          <w:szCs w:val="21"/>
        </w:rPr>
      </w:pPr>
      <w:r>
        <w:rPr>
          <w:rFonts w:ascii="Tahoma" w:eastAsia="Tahoma" w:hAnsi="Tahoma" w:cs="Tahoma"/>
          <w:sz w:val="21"/>
          <w:szCs w:val="21"/>
        </w:rPr>
        <w:lastRenderedPageBreak/>
        <w:t xml:space="preserve">Důležitý je výběr ústní vody. Podle složení se jejich účinek totiž výrazně liší. </w:t>
      </w:r>
      <w:r>
        <w:rPr>
          <w:rFonts w:ascii="Tahoma" w:eastAsia="Tahoma" w:hAnsi="Tahoma" w:cs="Tahoma"/>
          <w:color w:val="CC9900"/>
          <w:sz w:val="21"/>
          <w:szCs w:val="21"/>
        </w:rPr>
        <w:t xml:space="preserve">„Ústní vody s fluoridem mohou přispívat k prevenci zubního kazu. Některé přípravky s antimikrobiálními látkami mohou pomáhat s kontrolou zubního plaku, zánětu dásní nebo nepříjemného zápachu z úst. Rostlinné složky mohou mít v některých přípravcích doplňkový protizánětlivý či zklidňující účinek. Jejich účinek ale závisí na konkrétní účinné látce a způsobu použití. Při výběru proto není rozhodující jen značka, cena nebo příchuť, ale především konkrétní složení a důvod, proč ústní vodu používáme,“ </w:t>
      </w:r>
      <w:r>
        <w:rPr>
          <w:rFonts w:ascii="Tahoma" w:eastAsia="Tahoma" w:hAnsi="Tahoma" w:cs="Tahoma"/>
          <w:sz w:val="21"/>
          <w:szCs w:val="21"/>
        </w:rPr>
        <w:t xml:space="preserve">vysvětlila Kateřina </w:t>
      </w:r>
      <w:proofErr w:type="spellStart"/>
      <w:r>
        <w:rPr>
          <w:rFonts w:ascii="Tahoma" w:eastAsia="Tahoma" w:hAnsi="Tahoma" w:cs="Tahoma"/>
          <w:sz w:val="21"/>
          <w:szCs w:val="21"/>
        </w:rPr>
        <w:t>Jurenková</w:t>
      </w:r>
      <w:proofErr w:type="spellEnd"/>
      <w:r>
        <w:rPr>
          <w:rFonts w:ascii="Tahoma" w:eastAsia="Tahoma" w:hAnsi="Tahoma" w:cs="Tahoma"/>
          <w:sz w:val="21"/>
          <w:szCs w:val="21"/>
        </w:rPr>
        <w:t>.</w:t>
      </w:r>
    </w:p>
    <w:p w14:paraId="7224602C" w14:textId="77777777" w:rsidR="007D2FDD" w:rsidRDefault="00000000">
      <w:pPr>
        <w:pBdr>
          <w:bottom w:val="single" w:sz="4" w:space="1" w:color="000000"/>
        </w:pBdr>
        <w:jc w:val="both"/>
        <w:rPr>
          <w:rFonts w:ascii="Tahoma" w:eastAsia="Tahoma" w:hAnsi="Tahoma" w:cs="Tahoma"/>
          <w:color w:val="CC9900"/>
          <w:sz w:val="21"/>
          <w:szCs w:val="21"/>
        </w:rPr>
      </w:pPr>
      <w:r>
        <w:rPr>
          <w:rFonts w:ascii="Tahoma" w:eastAsia="Tahoma" w:hAnsi="Tahoma" w:cs="Tahoma"/>
          <w:sz w:val="21"/>
          <w:szCs w:val="21"/>
        </w:rPr>
        <w:t xml:space="preserve">Zvláštní kategorií jsou léčebné výplachy, především přípravky s chlorhexidinem. Ty ale nejsou určené k dlouhodobému používání bez doporučení odborníka. </w:t>
      </w:r>
      <w:r>
        <w:rPr>
          <w:rFonts w:ascii="Tahoma" w:eastAsia="Tahoma" w:hAnsi="Tahoma" w:cs="Tahoma"/>
          <w:color w:val="CC9900"/>
          <w:sz w:val="21"/>
          <w:szCs w:val="21"/>
        </w:rPr>
        <w:t xml:space="preserve">„Mohou být vhodné například po některých stomatologických zákrocích nebo při vybraných zánětlivých stavech jako součást léčby doporučené zubním lékařem či dentální hygienistkou. Chlorhexidin má výrazný antibakteriální účinek, při delším používání však může způsobit změny chuti a povrchové zabarvení zubů či jazyka. Proto je důležité dodržovat doporučenou koncentraci, dávkování i délku používání. Vzniklé povrchové pigmentace lze zpravidla odstranit při profesionální dentální hygieně,“ </w:t>
      </w:r>
      <w:r>
        <w:rPr>
          <w:rFonts w:ascii="Tahoma" w:eastAsia="Tahoma" w:hAnsi="Tahoma" w:cs="Tahoma"/>
          <w:sz w:val="21"/>
          <w:szCs w:val="21"/>
        </w:rPr>
        <w:t>uzavřel Jakub Hladík.</w:t>
      </w:r>
      <w:r>
        <w:rPr>
          <w:rFonts w:ascii="Tahoma" w:eastAsia="Tahoma" w:hAnsi="Tahoma" w:cs="Tahoma"/>
          <w:color w:val="CC9900"/>
          <w:sz w:val="21"/>
          <w:szCs w:val="21"/>
        </w:rPr>
        <w:t xml:space="preserve"> </w:t>
      </w:r>
      <w:bookmarkEnd w:id="0"/>
    </w:p>
    <w:p w14:paraId="788A6108" w14:textId="77777777" w:rsidR="007D2FDD" w:rsidRDefault="00000000">
      <w:pPr>
        <w:jc w:val="both"/>
        <w:rPr>
          <w:rFonts w:ascii="Tahoma" w:eastAsia="Tahoma" w:hAnsi="Tahoma" w:cs="Tahoma"/>
          <w:sz w:val="21"/>
          <w:szCs w:val="21"/>
        </w:rPr>
      </w:pPr>
      <w:r>
        <w:rPr>
          <w:rFonts w:ascii="Tahoma" w:eastAsia="Tahoma" w:hAnsi="Tahoma" w:cs="Tahoma"/>
          <w:b/>
          <w:bCs/>
        </w:rPr>
        <w:t>KONTAKT PRO MÉDIA:</w:t>
      </w:r>
    </w:p>
    <w:p w14:paraId="6FB96338" w14:textId="77777777" w:rsidR="007D2FDD" w:rsidRDefault="00000000">
      <w:pPr>
        <w:spacing w:line="240" w:lineRule="auto"/>
        <w:jc w:val="both"/>
        <w:rPr>
          <w:rFonts w:ascii="Tahoma" w:eastAsia="Tahoma" w:hAnsi="Tahoma" w:cs="Tahoma"/>
          <w:b/>
          <w:bCs/>
          <w:color w:val="CC9900"/>
          <w:sz w:val="20"/>
          <w:szCs w:val="20"/>
        </w:rPr>
      </w:pPr>
      <w:r>
        <w:rPr>
          <w:rFonts w:ascii="Tahoma" w:eastAsia="Tahoma" w:hAnsi="Tahoma" w:cs="Tahoma"/>
          <w:b/>
          <w:bCs/>
          <w:color w:val="333333"/>
          <w:sz w:val="20"/>
          <w:szCs w:val="20"/>
        </w:rPr>
        <w:t xml:space="preserve">Mgr. Petra </w:t>
      </w:r>
      <w:proofErr w:type="spellStart"/>
      <w:r>
        <w:rPr>
          <w:rFonts w:ascii="Tahoma" w:eastAsia="Tahoma" w:hAnsi="Tahoma" w:cs="Tahoma"/>
          <w:b/>
          <w:bCs/>
          <w:color w:val="333333"/>
          <w:sz w:val="20"/>
          <w:szCs w:val="20"/>
        </w:rPr>
        <w:t>Ďurčíková</w:t>
      </w:r>
      <w:r>
        <w:rPr>
          <w:rFonts w:ascii="Tahoma" w:eastAsia="Tahoma" w:hAnsi="Tahoma" w:cs="Tahoma"/>
          <w:b/>
          <w:bCs/>
          <w:color w:val="CC9900"/>
          <w:sz w:val="20"/>
          <w:szCs w:val="20"/>
        </w:rPr>
        <w:t>_mediální</w:t>
      </w:r>
      <w:proofErr w:type="spellEnd"/>
      <w:r>
        <w:rPr>
          <w:rFonts w:ascii="Tahoma" w:eastAsia="Tahoma" w:hAnsi="Tahoma" w:cs="Tahoma"/>
          <w:b/>
          <w:bCs/>
          <w:color w:val="CC9900"/>
          <w:sz w:val="20"/>
          <w:szCs w:val="20"/>
        </w:rPr>
        <w:t xml:space="preserve"> konzultant</w:t>
      </w:r>
    </w:p>
    <w:p w14:paraId="36204A2A" w14:textId="77777777" w:rsidR="007D2FDD" w:rsidRDefault="00000000">
      <w:pPr>
        <w:spacing w:line="240" w:lineRule="auto"/>
        <w:rPr>
          <w:rFonts w:ascii="Tahoma" w:eastAsia="Tahoma" w:hAnsi="Tahoma" w:cs="Tahoma"/>
          <w:b/>
          <w:bCs/>
          <w:sz w:val="20"/>
          <w:szCs w:val="20"/>
        </w:rPr>
      </w:pPr>
      <w:r>
        <w:rPr>
          <w:noProof/>
        </w:rPr>
        <w:drawing>
          <wp:inline distT="0" distB="0" distL="0" distR="0" wp14:anchorId="6DB7EE08" wp14:editId="4433A30A">
            <wp:extent cx="828675" cy="13208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noChangeArrowheads="1"/>
                    </pic:cNvPicPr>
                  </pic:nvPicPr>
                  <pic:blipFill>
                    <a:blip r:embed="rId7"/>
                    <a:stretch>
                      <a:fillRect/>
                    </a:stretch>
                  </pic:blipFill>
                  <pic:spPr bwMode="auto">
                    <a:xfrm>
                      <a:off x="0" y="0"/>
                      <a:ext cx="828675" cy="132080"/>
                    </a:xfrm>
                    <a:prstGeom prst="rect">
                      <a:avLst/>
                    </a:prstGeom>
                    <a:noFill/>
                  </pic:spPr>
                </pic:pic>
              </a:graphicData>
            </a:graphic>
          </wp:inline>
        </w:drawing>
      </w:r>
    </w:p>
    <w:p w14:paraId="0FC9F99D" w14:textId="77777777" w:rsidR="007D2FDD" w:rsidRDefault="00000000">
      <w:pPr>
        <w:pBdr>
          <w:bottom w:val="single" w:sz="6" w:space="1" w:color="000000"/>
        </w:pBdr>
        <w:spacing w:line="240" w:lineRule="auto"/>
        <w:rPr>
          <w:rFonts w:ascii="Tahoma" w:eastAsia="Tahoma" w:hAnsi="Tahoma" w:cs="Tahoma"/>
          <w:b/>
          <w:bCs/>
          <w:sz w:val="20"/>
          <w:szCs w:val="20"/>
        </w:rPr>
      </w:pPr>
      <w:r>
        <w:rPr>
          <w:rFonts w:ascii="Tahoma" w:eastAsia="Tahoma" w:hAnsi="Tahoma" w:cs="Tahoma"/>
          <w:b/>
          <w:bCs/>
          <w:sz w:val="20"/>
          <w:szCs w:val="20"/>
        </w:rPr>
        <w:t xml:space="preserve">+420 733 643 825, </w:t>
      </w:r>
      <w:hyperlink r:id="rId8">
        <w:r>
          <w:rPr>
            <w:rFonts w:ascii="Tahoma" w:eastAsia="Tahoma" w:hAnsi="Tahoma" w:cs="Tahoma"/>
            <w:b/>
            <w:bCs/>
            <w:color w:val="0000FF"/>
            <w:sz w:val="20"/>
            <w:szCs w:val="20"/>
            <w:u w:val="single"/>
          </w:rPr>
          <w:t>petra@pearmedia.cz</w:t>
        </w:r>
      </w:hyperlink>
    </w:p>
    <w:p w14:paraId="5279B308" w14:textId="77777777" w:rsidR="007D2FDD" w:rsidRDefault="00000000">
      <w:pPr>
        <w:pBdr>
          <w:bottom w:val="single" w:sz="6" w:space="1" w:color="000000"/>
        </w:pBdr>
        <w:spacing w:line="240" w:lineRule="auto"/>
        <w:rPr>
          <w:rFonts w:ascii="Tahoma" w:eastAsia="Tahoma" w:hAnsi="Tahoma" w:cs="Tahoma"/>
          <w:b/>
          <w:bCs/>
          <w:sz w:val="20"/>
          <w:szCs w:val="20"/>
        </w:rPr>
      </w:pPr>
      <w:r>
        <w:rPr>
          <w:rFonts w:ascii="Tahoma" w:eastAsia="Tahoma" w:hAnsi="Tahoma" w:cs="Tahoma"/>
          <w:b/>
          <w:bCs/>
          <w:sz w:val="20"/>
          <w:szCs w:val="20"/>
        </w:rPr>
        <w:t xml:space="preserve"> </w:t>
      </w:r>
      <w:hyperlink r:id="rId9">
        <w:r>
          <w:rPr>
            <w:rFonts w:ascii="Tahoma" w:eastAsia="Tahoma" w:hAnsi="Tahoma" w:cs="Tahoma"/>
            <w:b/>
            <w:bCs/>
            <w:color w:val="0000FF"/>
            <w:sz w:val="20"/>
            <w:szCs w:val="20"/>
            <w:u w:val="single"/>
          </w:rPr>
          <w:t>pearmedia.cz</w:t>
        </w:r>
      </w:hyperlink>
      <w:r>
        <w:rPr>
          <w:rFonts w:ascii="Tahoma" w:eastAsia="Tahoma" w:hAnsi="Tahoma" w:cs="Tahoma"/>
          <w:sz w:val="20"/>
          <w:szCs w:val="20"/>
        </w:rPr>
        <w:br/>
      </w:r>
    </w:p>
    <w:p w14:paraId="21D6202F" w14:textId="77777777" w:rsidR="007D2FDD" w:rsidRDefault="00000000">
      <w:pPr>
        <w:jc w:val="both"/>
        <w:rPr>
          <w:rFonts w:ascii="Tahoma" w:eastAsia="Tahoma" w:hAnsi="Tahoma" w:cs="Tahoma"/>
          <w:b/>
          <w:bCs/>
        </w:rPr>
      </w:pPr>
      <w:r>
        <w:rPr>
          <w:rFonts w:ascii="Tahoma" w:eastAsia="Tahoma" w:hAnsi="Tahoma" w:cs="Tahoma"/>
          <w:b/>
          <w:bCs/>
        </w:rPr>
        <w:t xml:space="preserve">THE CLINIC, </w:t>
      </w:r>
      <w:hyperlink r:id="rId10">
        <w:r>
          <w:rPr>
            <w:rFonts w:ascii="Tahoma" w:eastAsia="Tahoma" w:hAnsi="Tahoma" w:cs="Tahoma"/>
            <w:b/>
            <w:bCs/>
            <w:color w:val="0000FF"/>
            <w:u w:val="single"/>
          </w:rPr>
          <w:t>www.theclinic.cz</w:t>
        </w:r>
      </w:hyperlink>
    </w:p>
    <w:p w14:paraId="2E9D8298" w14:textId="77777777" w:rsidR="007D2FDD" w:rsidRDefault="00000000">
      <w:pPr>
        <w:jc w:val="both"/>
        <w:rPr>
          <w:rFonts w:ascii="Tahoma" w:eastAsia="Tahoma" w:hAnsi="Tahoma" w:cs="Tahoma"/>
          <w:sz w:val="18"/>
          <w:szCs w:val="18"/>
        </w:rPr>
      </w:pPr>
      <w:r>
        <w:rPr>
          <w:rFonts w:ascii="Tahoma" w:eastAsia="Tahoma" w:hAnsi="Tahoma" w:cs="Tahoma"/>
          <w:sz w:val="18"/>
          <w:szCs w:val="18"/>
        </w:rPr>
        <w:t xml:space="preserve">Centrum stomatologie </w:t>
      </w:r>
      <w:proofErr w:type="spellStart"/>
      <w:r>
        <w:rPr>
          <w:rFonts w:ascii="Tahoma" w:eastAsia="Tahoma" w:hAnsi="Tahoma" w:cs="Tahoma"/>
          <w:sz w:val="18"/>
          <w:szCs w:val="18"/>
        </w:rPr>
        <w:t>The</w:t>
      </w:r>
      <w:proofErr w:type="spellEnd"/>
      <w:r>
        <w:rPr>
          <w:rFonts w:ascii="Tahoma" w:eastAsia="Tahoma" w:hAnsi="Tahoma" w:cs="Tahoma"/>
          <w:sz w:val="18"/>
          <w:szCs w:val="18"/>
        </w:rPr>
        <w:t xml:space="preserve"> </w:t>
      </w:r>
      <w:proofErr w:type="spellStart"/>
      <w:r>
        <w:rPr>
          <w:rFonts w:ascii="Tahoma" w:eastAsia="Tahoma" w:hAnsi="Tahoma" w:cs="Tahoma"/>
          <w:sz w:val="18"/>
          <w:szCs w:val="18"/>
        </w:rPr>
        <w:t>Clinic</w:t>
      </w:r>
      <w:proofErr w:type="spellEnd"/>
      <w:r>
        <w:rPr>
          <w:rFonts w:ascii="Tahoma" w:eastAsia="Tahoma" w:hAnsi="Tahoma" w:cs="Tahoma"/>
          <w:sz w:val="18"/>
          <w:szCs w:val="18"/>
        </w:rPr>
        <w:t xml:space="preserve"> bylo založeno v roce 2014. V jeho čele stojí MDDr. Tomáš Pražák – specialista s atestací v oboru parodontologie a bohatými zkušenostmi z prestižních zahraničních stáží v Mnichově a Boloni. Je členem České stomatologické komory. Moderní stomatologická klinika v centru Prahy nabízí špičkovou péči, přátelské prostředí a tým zkušených odborníků. Mezi nabízené služby patří dentální hygiena, preventivní programy, dětská stomatologie, estetické rekonstrukce, ošetření kořenových kanálků, implantáty, extrakce osmiček, ortodoncie a další. </w:t>
      </w:r>
    </w:p>
    <w:p w14:paraId="6BA7BAB0" w14:textId="77777777" w:rsidR="007D2FDD" w:rsidRDefault="007D2FDD"/>
    <w:p w14:paraId="1CB1D7FE" w14:textId="77777777" w:rsidR="007D2FDD" w:rsidRDefault="007D2FDD"/>
    <w:sectPr w:rsidR="007D2FDD">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1"/>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D99A9" w14:textId="77777777" w:rsidR="00F37346" w:rsidRDefault="00F37346">
      <w:pPr>
        <w:spacing w:after="0" w:line="240" w:lineRule="auto"/>
      </w:pPr>
      <w:r>
        <w:separator/>
      </w:r>
    </w:p>
  </w:endnote>
  <w:endnote w:type="continuationSeparator" w:id="0">
    <w:p w14:paraId="390350B6" w14:textId="77777777" w:rsidR="00F37346" w:rsidRDefault="00F37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00002FF" w:usb1="4000ACFF" w:usb2="00000001"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Carlito">
    <w:altName w:val="Calibri"/>
    <w:charset w:val="01"/>
    <w:family w:val="swiss"/>
    <w:pitch w:val="variable"/>
  </w:font>
  <w:font w:name="Noto Sans CJK SC">
    <w:panose1 w:val="00000000000000000000"/>
    <w:charset w:val="00"/>
    <w:family w:val="roman"/>
    <w:notTrueType/>
    <w:pitch w:val="default"/>
  </w:font>
  <w:font w:name="Noto Serif Devanagar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E42A0" w14:textId="77777777" w:rsidR="007D2FDD" w:rsidRDefault="007D2FD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0B1B9" w14:textId="77777777" w:rsidR="007D2FDD" w:rsidRDefault="007D2FDD">
    <w:pP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CEAA6" w14:textId="77777777" w:rsidR="007D2FDD" w:rsidRDefault="007D2FDD">
    <w:pP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2850B" w14:textId="77777777" w:rsidR="00F37346" w:rsidRDefault="00F37346">
      <w:pPr>
        <w:spacing w:after="0" w:line="240" w:lineRule="auto"/>
      </w:pPr>
      <w:r>
        <w:separator/>
      </w:r>
    </w:p>
  </w:footnote>
  <w:footnote w:type="continuationSeparator" w:id="0">
    <w:p w14:paraId="640A0BBA" w14:textId="77777777" w:rsidR="00F37346" w:rsidRDefault="00F373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E9750" w14:textId="77777777" w:rsidR="007D2FDD" w:rsidRDefault="007D2FD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2869F" w14:textId="77777777" w:rsidR="007D2FDD"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noProof/>
      </w:rPr>
      <w:drawing>
        <wp:anchor distT="0" distB="0" distL="114300" distR="114300" simplePos="0" relativeHeight="251657216" behindDoc="1" locked="0" layoutInCell="0" allowOverlap="1" wp14:anchorId="10011EF4" wp14:editId="160D3C67">
          <wp:simplePos x="0" y="0"/>
          <wp:positionH relativeFrom="column">
            <wp:posOffset>-4445</wp:posOffset>
          </wp:positionH>
          <wp:positionV relativeFrom="paragraph">
            <wp:posOffset>-1905</wp:posOffset>
          </wp:positionV>
          <wp:extent cx="1877695" cy="685800"/>
          <wp:effectExtent l="0" t="0" r="0" b="0"/>
          <wp:wrapSquare wrapText="bothSides"/>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a:picLocks noChangeAspect="1" noChangeArrowheads="1"/>
                  </pic:cNvPicPr>
                </pic:nvPicPr>
                <pic:blipFill>
                  <a:blip r:embed="rId1"/>
                  <a:stretch>
                    <a:fillRect/>
                  </a:stretch>
                </pic:blipFill>
                <pic:spPr bwMode="auto">
                  <a:xfrm>
                    <a:off x="0" y="0"/>
                    <a:ext cx="1877695" cy="685800"/>
                  </a:xfrm>
                  <a:prstGeom prst="rect">
                    <a:avLst/>
                  </a:prstGeom>
                  <a:noFill/>
                </pic:spPr>
              </pic:pic>
            </a:graphicData>
          </a:graphic>
        </wp:anchor>
      </w:drawing>
    </w:r>
    <w:r>
      <w:rPr>
        <w:b/>
        <w:bCs/>
        <w:color w:val="000000"/>
        <w:sz w:val="36"/>
        <w:szCs w:val="36"/>
      </w:rPr>
      <w:tab/>
    </w:r>
    <w:r>
      <w:rPr>
        <w:b/>
        <w:bCs/>
        <w:color w:val="000000"/>
        <w:sz w:val="36"/>
        <w:szCs w:val="36"/>
      </w:rPr>
      <w:tab/>
      <w:t xml:space="preserve">      </w:t>
    </w:r>
  </w:p>
  <w:p w14:paraId="557357C7" w14:textId="77777777" w:rsidR="007D2FDD"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b/>
        <w:bCs/>
        <w:color w:val="000000"/>
        <w:sz w:val="36"/>
        <w:szCs w:val="36"/>
      </w:rPr>
      <w:tab/>
    </w:r>
    <w:r>
      <w:rPr>
        <w:b/>
        <w:bCs/>
        <w:color w:val="000000"/>
        <w:sz w:val="36"/>
        <w:szCs w:val="36"/>
      </w:rPr>
      <w:tab/>
    </w:r>
    <w:r>
      <w:rPr>
        <w:b/>
        <w:bCs/>
        <w:color w:val="000000"/>
        <w:sz w:val="36"/>
        <w:szCs w:val="36"/>
      </w:rPr>
      <w:tab/>
      <w:t>TISKOVÁ ZPRÁVA</w:t>
    </w:r>
  </w:p>
  <w:p w14:paraId="44FB5B36" w14:textId="77777777" w:rsidR="007D2FDD" w:rsidRDefault="007D2FDD">
    <w:pPr>
      <w:tabs>
        <w:tab w:val="left" w:pos="1680"/>
        <w:tab w:val="left" w:pos="1740"/>
        <w:tab w:val="left" w:pos="3615"/>
        <w:tab w:val="center" w:pos="4536"/>
        <w:tab w:val="right" w:pos="9072"/>
      </w:tabs>
      <w:spacing w:after="0" w:line="240" w:lineRule="auto"/>
      <w:jc w:val="both"/>
      <w:rPr>
        <w:b/>
        <w:bCs/>
        <w:color w:val="000000"/>
        <w:sz w:val="2"/>
        <w:szCs w:val="2"/>
      </w:rPr>
    </w:pPr>
  </w:p>
  <w:p w14:paraId="79E7125C" w14:textId="77777777" w:rsidR="007D2FDD" w:rsidRDefault="007D2FDD">
    <w:pPr>
      <w:tabs>
        <w:tab w:val="left" w:pos="1680"/>
        <w:tab w:val="left" w:pos="1740"/>
        <w:tab w:val="left" w:pos="3615"/>
        <w:tab w:val="center" w:pos="4536"/>
        <w:tab w:val="right" w:pos="9072"/>
      </w:tabs>
      <w:spacing w:after="0" w:line="240" w:lineRule="auto"/>
      <w:jc w:val="right"/>
      <w:rPr>
        <w:b/>
        <w:bCs/>
        <w:color w:val="000000"/>
        <w:sz w:val="2"/>
        <w:szCs w:val="2"/>
      </w:rPr>
    </w:pPr>
  </w:p>
  <w:p w14:paraId="30B85B45" w14:textId="77777777" w:rsidR="007D2FDD" w:rsidRDefault="007D2FDD">
    <w:pPr>
      <w:tabs>
        <w:tab w:val="left" w:pos="1680"/>
        <w:tab w:val="left" w:pos="1740"/>
        <w:tab w:val="left" w:pos="3615"/>
        <w:tab w:val="center" w:pos="4536"/>
        <w:tab w:val="right" w:pos="9072"/>
      </w:tabs>
      <w:spacing w:after="0" w:line="240" w:lineRule="auto"/>
      <w:jc w:val="right"/>
      <w:rPr>
        <w:b/>
        <w:bCs/>
        <w:color w:val="000000"/>
        <w:sz w:val="2"/>
        <w:szCs w:val="2"/>
      </w:rPr>
    </w:pPr>
  </w:p>
  <w:p w14:paraId="2B9225AF"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20BC6638"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76AA3C4C"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7BD81429"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2B8A601B"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7695C558"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6AC0C37E"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0018A2CD"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4C2A46C6"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0CE9EB88"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04FD7A1B"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0B420C0B"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7FD4B83E"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1EAD0FD9"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7045ABE8"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3BE0C656"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3925B02D"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75E48D81"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5C1581ED"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402648E0" w14:textId="77777777" w:rsidR="007D2FDD" w:rsidRDefault="007D2FDD">
    <w:pPr>
      <w:tabs>
        <w:tab w:val="left" w:pos="1680"/>
        <w:tab w:val="left" w:pos="1740"/>
        <w:tab w:val="left" w:pos="3615"/>
        <w:tab w:val="center" w:pos="4536"/>
        <w:tab w:val="right" w:pos="9072"/>
      </w:tabs>
      <w:spacing w:after="0" w:line="240" w:lineRule="auto"/>
      <w:jc w:val="right"/>
      <w:rPr>
        <w:b/>
        <w:bCs/>
        <w:color w:val="000000"/>
        <w:sz w:val="2"/>
        <w:szCs w:val="2"/>
      </w:rPr>
    </w:pPr>
  </w:p>
  <w:p w14:paraId="17C682CF" w14:textId="77777777" w:rsidR="007D2FDD" w:rsidRDefault="007D2FDD">
    <w:pPr>
      <w:tabs>
        <w:tab w:val="left" w:pos="1680"/>
        <w:tab w:val="left" w:pos="1740"/>
        <w:tab w:val="left" w:pos="3615"/>
        <w:tab w:val="center" w:pos="4536"/>
        <w:tab w:val="right" w:pos="9072"/>
      </w:tabs>
      <w:spacing w:after="0" w:line="240" w:lineRule="auto"/>
      <w:jc w:val="center"/>
      <w:rPr>
        <w:b/>
        <w:bCs/>
        <w:color w:val="000000"/>
        <w:sz w:val="2"/>
        <w:szCs w:val="2"/>
      </w:rPr>
    </w:pPr>
  </w:p>
  <w:p w14:paraId="3594F2FA" w14:textId="77777777" w:rsidR="007D2FDD" w:rsidRDefault="007D2FDD">
    <w:pPr>
      <w:tabs>
        <w:tab w:val="left" w:pos="1680"/>
        <w:tab w:val="left" w:pos="1740"/>
        <w:tab w:val="left" w:pos="3615"/>
        <w:tab w:val="center" w:pos="4536"/>
        <w:tab w:val="right" w:pos="9072"/>
      </w:tabs>
      <w:spacing w:after="0" w:line="240" w:lineRule="auto"/>
      <w:jc w:val="both"/>
      <w:rPr>
        <w:b/>
        <w:bCs/>
        <w:color w:val="000000"/>
        <w:sz w:val="2"/>
        <w:szCs w:val="2"/>
      </w:rPr>
    </w:pPr>
  </w:p>
  <w:p w14:paraId="2E3A2801" w14:textId="77777777" w:rsidR="007D2FDD" w:rsidRDefault="007D2FDD">
    <w:pPr>
      <w:tabs>
        <w:tab w:val="left" w:pos="1680"/>
        <w:tab w:val="left" w:pos="1740"/>
        <w:tab w:val="left" w:pos="3615"/>
        <w:tab w:val="center" w:pos="4536"/>
        <w:tab w:val="right" w:pos="9072"/>
      </w:tabs>
      <w:spacing w:after="0" w:line="240" w:lineRule="auto"/>
      <w:jc w:val="both"/>
      <w:rPr>
        <w:b/>
        <w:bCs/>
        <w:color w:val="000000"/>
        <w:sz w:val="2"/>
        <w:szCs w:val="2"/>
      </w:rPr>
    </w:pPr>
  </w:p>
  <w:p w14:paraId="081D7746" w14:textId="77777777" w:rsidR="007D2FDD" w:rsidRDefault="007D2FDD">
    <w:pPr>
      <w:tabs>
        <w:tab w:val="left" w:pos="1680"/>
        <w:tab w:val="left" w:pos="1740"/>
        <w:tab w:val="left" w:pos="3615"/>
        <w:tab w:val="center" w:pos="4536"/>
        <w:tab w:val="right" w:pos="9072"/>
      </w:tabs>
      <w:spacing w:after="0" w:line="240" w:lineRule="auto"/>
      <w:jc w:val="both"/>
      <w:rPr>
        <w:b/>
        <w:bCs/>
        <w:color w:val="000000"/>
        <w:sz w:val="2"/>
        <w:szCs w:val="2"/>
      </w:rPr>
    </w:pPr>
  </w:p>
  <w:p w14:paraId="6D7561CA" w14:textId="77777777" w:rsidR="007D2FDD" w:rsidRDefault="007D2FDD">
    <w:pPr>
      <w:tabs>
        <w:tab w:val="left" w:pos="3615"/>
        <w:tab w:val="center" w:pos="4536"/>
        <w:tab w:val="right" w:pos="9072"/>
      </w:tabs>
      <w:spacing w:after="0" w:line="240" w:lineRule="auto"/>
      <w:jc w:val="both"/>
      <w:rPr>
        <w:b/>
        <w:bCs/>
        <w:color w:val="000000"/>
        <w:sz w:val="2"/>
        <w:szCs w:val="2"/>
      </w:rPr>
    </w:pPr>
  </w:p>
  <w:p w14:paraId="4B356669" w14:textId="77777777" w:rsidR="007D2FDD" w:rsidRDefault="007D2FDD">
    <w:pPr>
      <w:tabs>
        <w:tab w:val="left" w:pos="3615"/>
        <w:tab w:val="center" w:pos="4536"/>
        <w:tab w:val="right" w:pos="9072"/>
      </w:tabs>
      <w:spacing w:after="0" w:line="240" w:lineRule="auto"/>
      <w:jc w:val="both"/>
      <w:rPr>
        <w:b/>
        <w:bCs/>
        <w:color w:val="000000"/>
        <w:sz w:val="2"/>
        <w:szCs w:val="2"/>
      </w:rPr>
    </w:pPr>
  </w:p>
  <w:p w14:paraId="5AA6B6DD" w14:textId="77777777" w:rsidR="007D2FDD" w:rsidRDefault="007D2FDD">
    <w:pPr>
      <w:tabs>
        <w:tab w:val="left" w:pos="3615"/>
        <w:tab w:val="center" w:pos="4536"/>
        <w:tab w:val="right" w:pos="9072"/>
      </w:tabs>
      <w:spacing w:after="0" w:line="240" w:lineRule="auto"/>
      <w:jc w:val="both"/>
      <w:rPr>
        <w:b/>
        <w:bCs/>
        <w:color w:val="000000"/>
        <w:sz w:val="2"/>
        <w:szCs w:val="2"/>
      </w:rPr>
    </w:pPr>
  </w:p>
  <w:p w14:paraId="48C22BA1" w14:textId="77777777" w:rsidR="007D2FDD" w:rsidRDefault="007D2FDD">
    <w:pPr>
      <w:tabs>
        <w:tab w:val="left" w:pos="3615"/>
        <w:tab w:val="center" w:pos="4536"/>
        <w:tab w:val="right" w:pos="9072"/>
      </w:tabs>
      <w:spacing w:after="0" w:line="240" w:lineRule="auto"/>
      <w:jc w:val="both"/>
      <w:rPr>
        <w:b/>
        <w:bCs/>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49DB2" w14:textId="77777777" w:rsidR="007D2FDD"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noProof/>
      </w:rPr>
      <w:drawing>
        <wp:anchor distT="0" distB="0" distL="114300" distR="114300" simplePos="0" relativeHeight="251658240" behindDoc="1" locked="0" layoutInCell="0" allowOverlap="1" wp14:anchorId="14D2F305" wp14:editId="7BC1B1BF">
          <wp:simplePos x="0" y="0"/>
          <wp:positionH relativeFrom="column">
            <wp:posOffset>-4445</wp:posOffset>
          </wp:positionH>
          <wp:positionV relativeFrom="paragraph">
            <wp:posOffset>-1905</wp:posOffset>
          </wp:positionV>
          <wp:extent cx="1877695" cy="685800"/>
          <wp:effectExtent l="0" t="0" r="0" b="0"/>
          <wp:wrapSquare wrapText="bothSides"/>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noChangeArrowheads="1"/>
                  </pic:cNvPicPr>
                </pic:nvPicPr>
                <pic:blipFill>
                  <a:blip r:embed="rId1"/>
                  <a:stretch>
                    <a:fillRect/>
                  </a:stretch>
                </pic:blipFill>
                <pic:spPr bwMode="auto">
                  <a:xfrm>
                    <a:off x="0" y="0"/>
                    <a:ext cx="1877695" cy="685800"/>
                  </a:xfrm>
                  <a:prstGeom prst="rect">
                    <a:avLst/>
                  </a:prstGeom>
                  <a:noFill/>
                </pic:spPr>
              </pic:pic>
            </a:graphicData>
          </a:graphic>
        </wp:anchor>
      </w:drawing>
    </w:r>
    <w:r>
      <w:rPr>
        <w:b/>
        <w:bCs/>
        <w:color w:val="000000"/>
        <w:sz w:val="36"/>
        <w:szCs w:val="36"/>
      </w:rPr>
      <w:tab/>
    </w:r>
    <w:r>
      <w:rPr>
        <w:b/>
        <w:bCs/>
        <w:color w:val="000000"/>
        <w:sz w:val="36"/>
        <w:szCs w:val="36"/>
      </w:rPr>
      <w:tab/>
      <w:t xml:space="preserve">      </w:t>
    </w:r>
  </w:p>
  <w:p w14:paraId="0D42BAF7" w14:textId="77777777" w:rsidR="007D2FDD"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b/>
        <w:bCs/>
        <w:color w:val="000000"/>
        <w:sz w:val="36"/>
        <w:szCs w:val="36"/>
      </w:rPr>
      <w:tab/>
    </w:r>
    <w:r>
      <w:rPr>
        <w:b/>
        <w:bCs/>
        <w:color w:val="000000"/>
        <w:sz w:val="36"/>
        <w:szCs w:val="36"/>
      </w:rPr>
      <w:tab/>
    </w:r>
    <w:r>
      <w:rPr>
        <w:b/>
        <w:bCs/>
        <w:color w:val="000000"/>
        <w:sz w:val="36"/>
        <w:szCs w:val="36"/>
      </w:rPr>
      <w:tab/>
      <w:t>TISKOVÁ ZPRÁVA</w:t>
    </w:r>
  </w:p>
  <w:p w14:paraId="540B4E9A" w14:textId="77777777" w:rsidR="007D2FDD" w:rsidRDefault="007D2FDD">
    <w:pPr>
      <w:tabs>
        <w:tab w:val="left" w:pos="1680"/>
        <w:tab w:val="left" w:pos="1740"/>
        <w:tab w:val="left" w:pos="3615"/>
        <w:tab w:val="center" w:pos="4536"/>
        <w:tab w:val="right" w:pos="9072"/>
      </w:tabs>
      <w:spacing w:after="0" w:line="240" w:lineRule="auto"/>
      <w:jc w:val="both"/>
      <w:rPr>
        <w:b/>
        <w:bCs/>
        <w:color w:val="000000"/>
        <w:sz w:val="2"/>
        <w:szCs w:val="2"/>
      </w:rPr>
    </w:pPr>
  </w:p>
  <w:p w14:paraId="50D33E9D" w14:textId="77777777" w:rsidR="007D2FDD" w:rsidRDefault="007D2FDD">
    <w:pPr>
      <w:tabs>
        <w:tab w:val="left" w:pos="1680"/>
        <w:tab w:val="left" w:pos="1740"/>
        <w:tab w:val="left" w:pos="3615"/>
        <w:tab w:val="center" w:pos="4536"/>
        <w:tab w:val="right" w:pos="9072"/>
      </w:tabs>
      <w:spacing w:after="0" w:line="240" w:lineRule="auto"/>
      <w:jc w:val="right"/>
      <w:rPr>
        <w:b/>
        <w:bCs/>
        <w:color w:val="000000"/>
        <w:sz w:val="2"/>
        <w:szCs w:val="2"/>
      </w:rPr>
    </w:pPr>
  </w:p>
  <w:p w14:paraId="5315F09D" w14:textId="77777777" w:rsidR="007D2FDD" w:rsidRDefault="007D2FDD">
    <w:pPr>
      <w:tabs>
        <w:tab w:val="left" w:pos="1680"/>
        <w:tab w:val="left" w:pos="1740"/>
        <w:tab w:val="left" w:pos="3615"/>
        <w:tab w:val="center" w:pos="4536"/>
        <w:tab w:val="right" w:pos="9072"/>
      </w:tabs>
      <w:spacing w:after="0" w:line="240" w:lineRule="auto"/>
      <w:jc w:val="right"/>
      <w:rPr>
        <w:b/>
        <w:bCs/>
        <w:color w:val="000000"/>
        <w:sz w:val="2"/>
        <w:szCs w:val="2"/>
      </w:rPr>
    </w:pPr>
  </w:p>
  <w:p w14:paraId="0BBCA03D"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5E5BF889"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095A7857"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6EC7498A"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6E5D2C37"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07762834"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5AF10DDC"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6CAD88E3"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58694FBE"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5B251FC9"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3A415436"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77486E8F"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30C66713"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466D18F2"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6262DBF8"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059DB40E"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0E113356"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44EB3133"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0DCB4BE5" w14:textId="77777777" w:rsidR="007D2FDD" w:rsidRDefault="007D2FDD">
    <w:pPr>
      <w:tabs>
        <w:tab w:val="left" w:pos="1680"/>
        <w:tab w:val="left" w:pos="1740"/>
        <w:tab w:val="left" w:pos="3615"/>
        <w:tab w:val="center" w:pos="4536"/>
        <w:tab w:val="right" w:pos="9072"/>
      </w:tabs>
      <w:spacing w:after="0" w:line="240" w:lineRule="auto"/>
      <w:rPr>
        <w:b/>
        <w:bCs/>
        <w:color w:val="000000"/>
        <w:sz w:val="2"/>
        <w:szCs w:val="2"/>
      </w:rPr>
    </w:pPr>
  </w:p>
  <w:p w14:paraId="4B2B45EA" w14:textId="77777777" w:rsidR="007D2FDD" w:rsidRDefault="007D2FDD">
    <w:pPr>
      <w:tabs>
        <w:tab w:val="left" w:pos="1680"/>
        <w:tab w:val="left" w:pos="1740"/>
        <w:tab w:val="left" w:pos="3615"/>
        <w:tab w:val="center" w:pos="4536"/>
        <w:tab w:val="right" w:pos="9072"/>
      </w:tabs>
      <w:spacing w:after="0" w:line="240" w:lineRule="auto"/>
      <w:jc w:val="right"/>
      <w:rPr>
        <w:b/>
        <w:bCs/>
        <w:color w:val="000000"/>
        <w:sz w:val="2"/>
        <w:szCs w:val="2"/>
      </w:rPr>
    </w:pPr>
  </w:p>
  <w:p w14:paraId="562604EA" w14:textId="77777777" w:rsidR="007D2FDD" w:rsidRDefault="007D2FDD">
    <w:pPr>
      <w:tabs>
        <w:tab w:val="left" w:pos="1680"/>
        <w:tab w:val="left" w:pos="1740"/>
        <w:tab w:val="left" w:pos="3615"/>
        <w:tab w:val="center" w:pos="4536"/>
        <w:tab w:val="right" w:pos="9072"/>
      </w:tabs>
      <w:spacing w:after="0" w:line="240" w:lineRule="auto"/>
      <w:jc w:val="center"/>
      <w:rPr>
        <w:b/>
        <w:bCs/>
        <w:color w:val="000000"/>
        <w:sz w:val="2"/>
        <w:szCs w:val="2"/>
      </w:rPr>
    </w:pPr>
  </w:p>
  <w:p w14:paraId="0B9755DC" w14:textId="77777777" w:rsidR="007D2FDD" w:rsidRDefault="007D2FDD">
    <w:pPr>
      <w:tabs>
        <w:tab w:val="left" w:pos="1680"/>
        <w:tab w:val="left" w:pos="1740"/>
        <w:tab w:val="left" w:pos="3615"/>
        <w:tab w:val="center" w:pos="4536"/>
        <w:tab w:val="right" w:pos="9072"/>
      </w:tabs>
      <w:spacing w:after="0" w:line="240" w:lineRule="auto"/>
      <w:jc w:val="both"/>
      <w:rPr>
        <w:b/>
        <w:bCs/>
        <w:color w:val="000000"/>
        <w:sz w:val="2"/>
        <w:szCs w:val="2"/>
      </w:rPr>
    </w:pPr>
  </w:p>
  <w:p w14:paraId="47C58C06" w14:textId="77777777" w:rsidR="007D2FDD" w:rsidRDefault="007D2FDD">
    <w:pPr>
      <w:tabs>
        <w:tab w:val="left" w:pos="1680"/>
        <w:tab w:val="left" w:pos="1740"/>
        <w:tab w:val="left" w:pos="3615"/>
        <w:tab w:val="center" w:pos="4536"/>
        <w:tab w:val="right" w:pos="9072"/>
      </w:tabs>
      <w:spacing w:after="0" w:line="240" w:lineRule="auto"/>
      <w:jc w:val="both"/>
      <w:rPr>
        <w:b/>
        <w:bCs/>
        <w:color w:val="000000"/>
        <w:sz w:val="2"/>
        <w:szCs w:val="2"/>
      </w:rPr>
    </w:pPr>
  </w:p>
  <w:p w14:paraId="00999761" w14:textId="77777777" w:rsidR="007D2FDD" w:rsidRDefault="007D2FDD">
    <w:pPr>
      <w:tabs>
        <w:tab w:val="left" w:pos="1680"/>
        <w:tab w:val="left" w:pos="1740"/>
        <w:tab w:val="left" w:pos="3615"/>
        <w:tab w:val="center" w:pos="4536"/>
        <w:tab w:val="right" w:pos="9072"/>
      </w:tabs>
      <w:spacing w:after="0" w:line="240" w:lineRule="auto"/>
      <w:jc w:val="both"/>
      <w:rPr>
        <w:b/>
        <w:bCs/>
        <w:color w:val="000000"/>
        <w:sz w:val="2"/>
        <w:szCs w:val="2"/>
      </w:rPr>
    </w:pPr>
  </w:p>
  <w:p w14:paraId="1F510582" w14:textId="77777777" w:rsidR="007D2FDD" w:rsidRDefault="007D2FDD">
    <w:pPr>
      <w:tabs>
        <w:tab w:val="left" w:pos="3615"/>
        <w:tab w:val="center" w:pos="4536"/>
        <w:tab w:val="right" w:pos="9072"/>
      </w:tabs>
      <w:spacing w:after="0" w:line="240" w:lineRule="auto"/>
      <w:jc w:val="both"/>
      <w:rPr>
        <w:b/>
        <w:bCs/>
        <w:color w:val="000000"/>
        <w:sz w:val="2"/>
        <w:szCs w:val="2"/>
      </w:rPr>
    </w:pPr>
  </w:p>
  <w:p w14:paraId="024D1895" w14:textId="77777777" w:rsidR="007D2FDD" w:rsidRDefault="007D2FDD">
    <w:pPr>
      <w:tabs>
        <w:tab w:val="left" w:pos="3615"/>
        <w:tab w:val="center" w:pos="4536"/>
        <w:tab w:val="right" w:pos="9072"/>
      </w:tabs>
      <w:spacing w:after="0" w:line="240" w:lineRule="auto"/>
      <w:jc w:val="both"/>
      <w:rPr>
        <w:b/>
        <w:bCs/>
        <w:color w:val="000000"/>
        <w:sz w:val="2"/>
        <w:szCs w:val="2"/>
      </w:rPr>
    </w:pPr>
  </w:p>
  <w:p w14:paraId="62B4CEA0" w14:textId="77777777" w:rsidR="007D2FDD" w:rsidRDefault="007D2FDD">
    <w:pPr>
      <w:tabs>
        <w:tab w:val="left" w:pos="3615"/>
        <w:tab w:val="center" w:pos="4536"/>
        <w:tab w:val="right" w:pos="9072"/>
      </w:tabs>
      <w:spacing w:after="0" w:line="240" w:lineRule="auto"/>
      <w:jc w:val="both"/>
      <w:rPr>
        <w:b/>
        <w:bCs/>
        <w:color w:val="000000"/>
        <w:sz w:val="2"/>
        <w:szCs w:val="2"/>
      </w:rPr>
    </w:pPr>
  </w:p>
  <w:p w14:paraId="4D67C50D" w14:textId="77777777" w:rsidR="007D2FDD" w:rsidRDefault="007D2FDD">
    <w:pPr>
      <w:tabs>
        <w:tab w:val="left" w:pos="3615"/>
        <w:tab w:val="center" w:pos="4536"/>
        <w:tab w:val="right" w:pos="9072"/>
      </w:tabs>
      <w:spacing w:after="0" w:line="240" w:lineRule="auto"/>
      <w:jc w:val="both"/>
      <w:rPr>
        <w:b/>
        <w:bCs/>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FDD"/>
    <w:rsid w:val="003D2C8F"/>
    <w:rsid w:val="007D2FDD"/>
    <w:rsid w:val="007F090B"/>
    <w:rsid w:val="00F37346"/>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5BFF3"/>
  <w15:docId w15:val="{029A2339-63D7-46EE-833A-6962C8860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E42A7"/>
    <w:pPr>
      <w:spacing w:after="200" w:line="276" w:lineRule="auto"/>
    </w:pPr>
    <w:rPr>
      <w:rFonts w:ascii="Calibri" w:eastAsia="Calibri" w:hAnsi="Calibri" w:cs="Calibri"/>
      <w:kern w:val="0"/>
      <w:sz w:val="22"/>
      <w:szCs w:val="22"/>
      <w:lang w:eastAsia="cs-CZ"/>
      <w14:ligatures w14:val="none"/>
    </w:rPr>
  </w:style>
  <w:style w:type="paragraph" w:styleId="Nadpis1">
    <w:name w:val="heading 1"/>
    <w:basedOn w:val="Normln"/>
    <w:next w:val="Normln"/>
    <w:link w:val="Nadpis1Char"/>
    <w:uiPriority w:val="9"/>
    <w:qFormat/>
    <w:rsid w:val="006E42A7"/>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dpis2">
    <w:name w:val="heading 2"/>
    <w:basedOn w:val="Normln"/>
    <w:next w:val="Normln"/>
    <w:link w:val="Nadpis2Char"/>
    <w:uiPriority w:val="9"/>
    <w:semiHidden/>
    <w:unhideWhenUsed/>
    <w:qFormat/>
    <w:rsid w:val="006E42A7"/>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6E42A7"/>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6E42A7"/>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Nadpis5">
    <w:name w:val="heading 5"/>
    <w:basedOn w:val="Normln"/>
    <w:next w:val="Normln"/>
    <w:link w:val="Nadpis5Char"/>
    <w:uiPriority w:val="9"/>
    <w:semiHidden/>
    <w:unhideWhenUsed/>
    <w:qFormat/>
    <w:rsid w:val="006E42A7"/>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Nadpis6">
    <w:name w:val="heading 6"/>
    <w:basedOn w:val="Normln"/>
    <w:next w:val="Normln"/>
    <w:link w:val="Nadpis6Char"/>
    <w:uiPriority w:val="9"/>
    <w:semiHidden/>
    <w:unhideWhenUsed/>
    <w:qFormat/>
    <w:rsid w:val="006E42A7"/>
    <w:pPr>
      <w:keepNext/>
      <w:keepLines/>
      <w:suppressAutoHyphens w:val="0"/>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dpis7">
    <w:name w:val="heading 7"/>
    <w:basedOn w:val="Normln"/>
    <w:next w:val="Normln"/>
    <w:link w:val="Nadpis7Char"/>
    <w:uiPriority w:val="9"/>
    <w:semiHidden/>
    <w:unhideWhenUsed/>
    <w:qFormat/>
    <w:rsid w:val="006E42A7"/>
    <w:pPr>
      <w:keepNext/>
      <w:keepLines/>
      <w:suppressAutoHyphens w:val="0"/>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dpis8">
    <w:name w:val="heading 8"/>
    <w:basedOn w:val="Normln"/>
    <w:next w:val="Normln"/>
    <w:link w:val="Nadpis8Char"/>
    <w:uiPriority w:val="9"/>
    <w:semiHidden/>
    <w:unhideWhenUsed/>
    <w:qFormat/>
    <w:rsid w:val="006E42A7"/>
    <w:pPr>
      <w:keepNext/>
      <w:keepLines/>
      <w:suppressAutoHyphens w:val="0"/>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dpis9">
    <w:name w:val="heading 9"/>
    <w:basedOn w:val="Normln"/>
    <w:next w:val="Normln"/>
    <w:link w:val="Nadpis9Char"/>
    <w:uiPriority w:val="9"/>
    <w:semiHidden/>
    <w:unhideWhenUsed/>
    <w:qFormat/>
    <w:rsid w:val="006E42A7"/>
    <w:pPr>
      <w:keepNext/>
      <w:keepLines/>
      <w:suppressAutoHyphens w:val="0"/>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42A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E42A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6E42A7"/>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E42A7"/>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E42A7"/>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6E42A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E42A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E42A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E42A7"/>
    <w:rPr>
      <w:rFonts w:eastAsiaTheme="majorEastAsia" w:cstheme="majorBidi"/>
      <w:color w:val="272727" w:themeColor="text1" w:themeTint="D8"/>
    </w:rPr>
  </w:style>
  <w:style w:type="character" w:customStyle="1" w:styleId="NzevChar">
    <w:name w:val="Název Char"/>
    <w:basedOn w:val="Standardnpsmoodstavce"/>
    <w:link w:val="Nzev"/>
    <w:uiPriority w:val="10"/>
    <w:rsid w:val="006E42A7"/>
    <w:rPr>
      <w:rFonts w:asciiTheme="majorHAnsi" w:eastAsiaTheme="majorEastAsia" w:hAnsiTheme="majorHAnsi" w:cstheme="majorBidi"/>
      <w:spacing w:val="-10"/>
      <w:kern w:val="2"/>
      <w:sz w:val="56"/>
      <w:szCs w:val="56"/>
    </w:rPr>
  </w:style>
  <w:style w:type="character" w:customStyle="1" w:styleId="PodnadpisChar">
    <w:name w:val="Podnadpis Char"/>
    <w:basedOn w:val="Standardnpsmoodstavce"/>
    <w:link w:val="Podnadpis"/>
    <w:uiPriority w:val="11"/>
    <w:rsid w:val="006E42A7"/>
    <w:rPr>
      <w:rFonts w:eastAsiaTheme="majorEastAsia" w:cstheme="majorBidi"/>
      <w:color w:val="595959" w:themeColor="text1" w:themeTint="A6"/>
      <w:spacing w:val="15"/>
      <w:sz w:val="28"/>
      <w:szCs w:val="28"/>
    </w:rPr>
  </w:style>
  <w:style w:type="character" w:customStyle="1" w:styleId="CittChar">
    <w:name w:val="Citát Char"/>
    <w:basedOn w:val="Standardnpsmoodstavce"/>
    <w:link w:val="Citt"/>
    <w:uiPriority w:val="29"/>
    <w:rsid w:val="006E42A7"/>
    <w:rPr>
      <w:i/>
      <w:iCs/>
      <w:color w:val="404040" w:themeColor="text1" w:themeTint="BF"/>
    </w:rPr>
  </w:style>
  <w:style w:type="character" w:styleId="Zdraznnintenzivn">
    <w:name w:val="Intense Emphasis"/>
    <w:basedOn w:val="Standardnpsmoodstavce"/>
    <w:uiPriority w:val="21"/>
    <w:qFormat/>
    <w:rsid w:val="006E42A7"/>
    <w:rPr>
      <w:i/>
      <w:iCs/>
      <w:color w:val="0F4761" w:themeColor="accent1" w:themeShade="BF"/>
    </w:rPr>
  </w:style>
  <w:style w:type="character" w:customStyle="1" w:styleId="VrazncittChar">
    <w:name w:val="Výrazný citát Char"/>
    <w:basedOn w:val="Standardnpsmoodstavce"/>
    <w:link w:val="Vrazncitt"/>
    <w:uiPriority w:val="30"/>
    <w:rsid w:val="006E42A7"/>
    <w:rPr>
      <w:i/>
      <w:iCs/>
      <w:color w:val="0F4761" w:themeColor="accent1" w:themeShade="BF"/>
    </w:rPr>
  </w:style>
  <w:style w:type="character" w:styleId="Odkazintenzivn">
    <w:name w:val="Intense Reference"/>
    <w:basedOn w:val="Standardnpsmoodstavce"/>
    <w:uiPriority w:val="32"/>
    <w:qFormat/>
    <w:rsid w:val="006E42A7"/>
    <w:rPr>
      <w:b/>
      <w:bCs/>
      <w:smallCaps/>
      <w:color w:val="0F4761" w:themeColor="accent1" w:themeShade="BF"/>
      <w:spacing w:val="5"/>
    </w:rPr>
  </w:style>
  <w:style w:type="character" w:customStyle="1" w:styleId="ZhlavChar">
    <w:name w:val="Záhlaví Char"/>
    <w:basedOn w:val="Standardnpsmoodstavce"/>
    <w:link w:val="Zhlav"/>
    <w:uiPriority w:val="99"/>
    <w:rsid w:val="006E42A7"/>
    <w:rPr>
      <w:rFonts w:ascii="Calibri" w:eastAsia="Calibri" w:hAnsi="Calibri" w:cs="Calibri"/>
      <w:kern w:val="0"/>
      <w:sz w:val="22"/>
      <w:szCs w:val="22"/>
      <w:lang w:eastAsia="cs-CZ"/>
      <w14:ligatures w14:val="none"/>
    </w:rPr>
  </w:style>
  <w:style w:type="character" w:customStyle="1" w:styleId="ZpatChar">
    <w:name w:val="Zápatí Char"/>
    <w:basedOn w:val="Standardnpsmoodstavce"/>
    <w:link w:val="Zpat"/>
    <w:uiPriority w:val="99"/>
    <w:rsid w:val="006E42A7"/>
    <w:rPr>
      <w:rFonts w:ascii="Calibri" w:eastAsia="Calibri" w:hAnsi="Calibri" w:cs="Calibri"/>
      <w:kern w:val="0"/>
      <w:sz w:val="22"/>
      <w:szCs w:val="22"/>
      <w:lang w:eastAsia="cs-CZ"/>
      <w14:ligatures w14:val="none"/>
    </w:rPr>
  </w:style>
  <w:style w:type="character" w:customStyle="1" w:styleId="ZhlavChar1">
    <w:name w:val="Záhlaví Char1"/>
    <w:basedOn w:val="Standardnpsmoodstavce"/>
    <w:uiPriority w:val="99"/>
    <w:semiHidden/>
    <w:rsid w:val="006E42A7"/>
    <w:rPr>
      <w:rFonts w:ascii="Calibri" w:eastAsia="Calibri" w:hAnsi="Calibri" w:cs="Calibri"/>
      <w:kern w:val="0"/>
      <w:sz w:val="22"/>
      <w:szCs w:val="22"/>
      <w:lang w:eastAsia="cs-CZ"/>
      <w14:ligatures w14:val="none"/>
    </w:rPr>
  </w:style>
  <w:style w:type="character" w:customStyle="1" w:styleId="ZpatChar1">
    <w:name w:val="Zápatí Char1"/>
    <w:basedOn w:val="Standardnpsmoodstavce"/>
    <w:uiPriority w:val="99"/>
    <w:semiHidden/>
    <w:rsid w:val="006E42A7"/>
    <w:rPr>
      <w:rFonts w:ascii="Calibri" w:eastAsia="Calibri" w:hAnsi="Calibri" w:cs="Calibri"/>
      <w:kern w:val="0"/>
      <w:sz w:val="22"/>
      <w:szCs w:val="22"/>
      <w:lang w:eastAsia="cs-CZ"/>
      <w14:ligatures w14:val="none"/>
    </w:rPr>
  </w:style>
  <w:style w:type="character" w:styleId="Hypertextovodkaz">
    <w:name w:val="Hyperlink"/>
    <w:rPr>
      <w:color w:val="000080"/>
      <w:u w:val="single"/>
    </w:rPr>
  </w:style>
  <w:style w:type="character" w:styleId="slodku">
    <w:name w:val="line number"/>
  </w:style>
  <w:style w:type="paragraph" w:customStyle="1" w:styleId="Heading">
    <w:name w:val="Heading"/>
    <w:basedOn w:val="Normln"/>
    <w:next w:val="Zkladntext"/>
    <w:pPr>
      <w:keepNext/>
      <w:spacing w:before="240" w:after="120"/>
    </w:pPr>
    <w:rPr>
      <w:rFonts w:ascii="Carlito" w:eastAsia="Noto Sans CJK SC" w:hAnsi="Carlito" w:cs="Noto Serif Devanagari"/>
      <w:sz w:val="28"/>
      <w:szCs w:val="28"/>
    </w:rPr>
  </w:style>
  <w:style w:type="paragraph" w:styleId="Zkladntext">
    <w:name w:val="Body Text"/>
    <w:basedOn w:val="Normln"/>
    <w:pPr>
      <w:spacing w:after="140"/>
    </w:pPr>
  </w:style>
  <w:style w:type="paragraph" w:styleId="Seznam">
    <w:name w:val="List"/>
    <w:basedOn w:val="Zkladntext"/>
    <w:rPr>
      <w:rFonts w:cs="Noto Serif Devanagari"/>
    </w:rPr>
  </w:style>
  <w:style w:type="paragraph" w:styleId="Titulek">
    <w:name w:val="caption"/>
    <w:basedOn w:val="Normln"/>
    <w:pPr>
      <w:suppressLineNumbers/>
      <w:spacing w:before="120" w:after="120"/>
    </w:pPr>
    <w:rPr>
      <w:rFonts w:cs="Noto Serif Devanagari"/>
      <w:i/>
      <w:iCs/>
      <w:sz w:val="24"/>
      <w:szCs w:val="24"/>
    </w:rPr>
  </w:style>
  <w:style w:type="paragraph" w:customStyle="1" w:styleId="Index">
    <w:name w:val="Index"/>
    <w:basedOn w:val="Normln"/>
    <w:pPr>
      <w:suppressLineNumbers/>
    </w:pPr>
    <w:rPr>
      <w:rFonts w:cs="Noto Serif Devanagari"/>
    </w:rPr>
  </w:style>
  <w:style w:type="paragraph" w:styleId="Nzev">
    <w:name w:val="Title"/>
    <w:basedOn w:val="Normln"/>
    <w:next w:val="Normln"/>
    <w:link w:val="NzevChar"/>
    <w:uiPriority w:val="10"/>
    <w:qFormat/>
    <w:rsid w:val="006E42A7"/>
    <w:pPr>
      <w:suppressAutoHyphens w:val="0"/>
      <w:spacing w:after="80" w:line="240" w:lineRule="auto"/>
      <w:contextualSpacing/>
    </w:pPr>
    <w:rPr>
      <w:rFonts w:asciiTheme="majorHAnsi" w:eastAsiaTheme="majorEastAsia" w:hAnsiTheme="majorHAnsi" w:cstheme="majorBidi"/>
      <w:spacing w:val="-10"/>
      <w:kern w:val="2"/>
      <w:sz w:val="56"/>
      <w:szCs w:val="56"/>
      <w:lang w:eastAsia="en-US"/>
      <w14:ligatures w14:val="standardContextual"/>
    </w:rPr>
  </w:style>
  <w:style w:type="paragraph" w:styleId="Podnadpis">
    <w:name w:val="Subtitle"/>
    <w:basedOn w:val="Normln"/>
    <w:next w:val="Normln"/>
    <w:link w:val="PodnadpisChar"/>
    <w:uiPriority w:val="11"/>
    <w:qFormat/>
    <w:rsid w:val="006E42A7"/>
    <w:p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Citt">
    <w:name w:val="Quote"/>
    <w:basedOn w:val="Normln"/>
    <w:next w:val="Normln"/>
    <w:link w:val="CittChar"/>
    <w:uiPriority w:val="29"/>
    <w:qFormat/>
    <w:rsid w:val="006E42A7"/>
    <w:pPr>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Odstavecseseznamem">
    <w:name w:val="List Paragraph"/>
    <w:basedOn w:val="Normln"/>
    <w:uiPriority w:val="34"/>
    <w:qFormat/>
    <w:rsid w:val="006E42A7"/>
    <w:pPr>
      <w:suppressAutoHyphens w:val="0"/>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paragraph" w:styleId="Vrazncitt">
    <w:name w:val="Intense Quote"/>
    <w:basedOn w:val="Normln"/>
    <w:next w:val="Normln"/>
    <w:link w:val="VrazncittChar"/>
    <w:uiPriority w:val="30"/>
    <w:qFormat/>
    <w:rsid w:val="006E42A7"/>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paragraph" w:customStyle="1" w:styleId="HeaderandFooter">
    <w:name w:val="Header and Footer"/>
    <w:basedOn w:val="Normln"/>
  </w:style>
  <w:style w:type="paragraph" w:styleId="Zhlav">
    <w:name w:val="header"/>
    <w:basedOn w:val="Normln"/>
    <w:link w:val="ZhlavChar"/>
    <w:uiPriority w:val="99"/>
    <w:unhideWhenUsed/>
    <w:rsid w:val="006E42A7"/>
    <w:pPr>
      <w:tabs>
        <w:tab w:val="center" w:pos="4536"/>
        <w:tab w:val="right" w:pos="9072"/>
      </w:tabs>
      <w:spacing w:after="0" w:line="240" w:lineRule="auto"/>
    </w:pPr>
  </w:style>
  <w:style w:type="paragraph" w:styleId="Zpat">
    <w:name w:val="footer"/>
    <w:basedOn w:val="Normln"/>
    <w:link w:val="ZpatChar"/>
    <w:uiPriority w:val="99"/>
    <w:unhideWhenUsed/>
    <w:rsid w:val="006E42A7"/>
    <w:pPr>
      <w:tabs>
        <w:tab w:val="center" w:pos="4536"/>
        <w:tab w:val="right" w:pos="9072"/>
      </w:tabs>
      <w:spacing w:after="0" w:line="240" w:lineRule="auto"/>
    </w:pPr>
  </w:style>
  <w:style w:type="paragraph" w:styleId="Revize">
    <w:name w:val="Revision"/>
    <w:uiPriority w:val="99"/>
    <w:semiHidden/>
    <w:rsid w:val="00105F46"/>
    <w:rPr>
      <w:rFonts w:ascii="Calibri" w:eastAsia="Calibri" w:hAnsi="Calibri" w:cs="Calibri"/>
      <w:kern w:val="0"/>
      <w:sz w:val="22"/>
      <w:szCs w:val="22"/>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etra@pearmedia.cz"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theclinic.cz/"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theclinic.cz/" TargetMode="External"/><Relationship Id="rId4" Type="http://schemas.openxmlformats.org/officeDocument/2006/relationships/footnotes" Target="footnotes.xml"/><Relationship Id="rId9" Type="http://schemas.openxmlformats.org/officeDocument/2006/relationships/hyperlink" Target="http://www.pearmedia.cz/"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764</Words>
  <Characters>4510</Characters>
  <Application>Microsoft Office Word</Application>
  <DocSecurity>0</DocSecurity>
  <Lines>37</Lines>
  <Paragraphs>10</Paragraphs>
  <ScaleCrop>false</ScaleCrop>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dc:description/>
  <cp:lastModifiedBy>Notebook</cp:lastModifiedBy>
  <cp:revision>2</cp:revision>
  <dcterms:created xsi:type="dcterms:W3CDTF">2026-10-05T15:25:00Z</dcterms:created>
  <dcterms:modified xsi:type="dcterms:W3CDTF">2026-10-05T15:25:00Z</dcterms:modified>
  <dc:language>cs-CZ</dc:language>
</cp:coreProperties>
</file>