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C6DB3" w14:textId="77777777" w:rsidR="00676204" w:rsidRDefault="00676204" w:rsidP="00676204">
      <w:pPr>
        <w:jc w:val="center"/>
        <w:rPr>
          <w:rFonts w:ascii="Tahoma" w:eastAsia="Tahoma" w:hAnsi="Tahoma" w:cs="Tahoma"/>
          <w:b/>
          <w:bCs/>
          <w:sz w:val="44"/>
          <w:szCs w:val="44"/>
        </w:rPr>
      </w:pPr>
      <w:r>
        <w:rPr>
          <w:rFonts w:ascii="Tahoma" w:eastAsia="Tahoma" w:hAnsi="Tahoma" w:cs="Tahoma"/>
          <w:b/>
          <w:bCs/>
          <w:sz w:val="44"/>
          <w:szCs w:val="44"/>
        </w:rPr>
        <w:t>Pálení a zarudnutí očí způsobuje syndrom suchého oka, únava i chřipka. Signalizovat může závažné onemocnění</w:t>
      </w:r>
    </w:p>
    <w:p w14:paraId="7F691F33" w14:textId="77777777" w:rsidR="00676204" w:rsidRDefault="00676204" w:rsidP="00676204">
      <w:pPr>
        <w:jc w:val="both"/>
        <w:rPr>
          <w:rFonts w:ascii="Tahoma" w:eastAsia="Tahoma" w:hAnsi="Tahoma" w:cs="Tahoma"/>
          <w:b/>
          <w:bCs/>
          <w:sz w:val="21"/>
          <w:szCs w:val="21"/>
        </w:rPr>
      </w:pPr>
      <w:r>
        <w:rPr>
          <w:rFonts w:ascii="Tahoma" w:eastAsia="Tahoma" w:hAnsi="Tahoma" w:cs="Tahoma"/>
          <w:b/>
          <w:bCs/>
          <w:sz w:val="21"/>
          <w:szCs w:val="21"/>
        </w:rPr>
        <w:t>PRAHA, 3. ÚNORA 2026 – Zarudnutí, pálení a řezání očí, světloplachost, zhoršené vidění, únava očí, někdy i bolest hlavy – takové jsou příznaky syndromu suchého oka. Podle odhadů může v Česku trápit až 3,5 milionu lidí. Viníků začervenalého bělma může být ale víc.</w:t>
      </w:r>
    </w:p>
    <w:p w14:paraId="7EDEEA0D" w14:textId="77777777" w:rsidR="00676204" w:rsidRDefault="00676204" w:rsidP="00676204">
      <w:pPr>
        <w:jc w:val="both"/>
        <w:rPr>
          <w:rFonts w:ascii="Tahoma" w:eastAsia="Tahoma" w:hAnsi="Tahoma" w:cs="Tahoma"/>
          <w:color w:val="CC9900"/>
          <w:sz w:val="21"/>
          <w:szCs w:val="21"/>
        </w:rPr>
      </w:pPr>
      <w:r>
        <w:rPr>
          <w:rFonts w:ascii="Tahoma" w:eastAsia="Tahoma" w:hAnsi="Tahoma" w:cs="Tahoma"/>
          <w:sz w:val="21"/>
          <w:szCs w:val="21"/>
        </w:rPr>
        <w:t xml:space="preserve">Syndrom suchého oka je v současnosti jedno z nejčastějších onemocnění, se kterým se pacienti obracejí na oční lékaře. Jeho výskyt navíc v posledních letech rapidně stoupá a často je označován jako pandemie digitální doby. 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„Problémy se zrakem se začínají objevovat po 40. roce věku. Syndrom suchého oka, který se stal civilizační nemocí současnosti, se ale čím dál častěji začíná objevovat u mladších pacientů. Na vznik suchého oka má vliv zejména pobyt v klimatizovaných prostorách a práce s počítačem, mobilním telefonem nebo tabletem. V takových podmínkách oči rychleji osychají, bývají zarudlé, můžou bolet a pálit. Pacienti si také stěžují na rozmazané vidění,“ </w:t>
      </w:r>
      <w:r>
        <w:rPr>
          <w:rFonts w:ascii="Tahoma" w:eastAsia="Tahoma" w:hAnsi="Tahoma" w:cs="Tahoma"/>
          <w:sz w:val="21"/>
          <w:szCs w:val="21"/>
        </w:rPr>
        <w:t>popsal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>
        <w:rPr>
          <w:rFonts w:ascii="Tahoma" w:eastAsia="Tahoma" w:hAnsi="Tahoma" w:cs="Tahoma"/>
          <w:sz w:val="21"/>
          <w:szCs w:val="21"/>
        </w:rPr>
        <w:t xml:space="preserve">Pavel Stodůlka, přednosta sítě očních klinik </w:t>
      </w:r>
      <w:hyperlink r:id="rId4">
        <w:r>
          <w:rPr>
            <w:rFonts w:ascii="Tahoma" w:eastAsia="Tahoma" w:hAnsi="Tahoma" w:cs="Tahoma"/>
            <w:color w:val="000000"/>
            <w:sz w:val="21"/>
            <w:szCs w:val="21"/>
            <w:u w:val="single"/>
          </w:rPr>
          <w:t>Gemini</w:t>
        </w:r>
      </w:hyperlink>
      <w:r>
        <w:rPr>
          <w:rFonts w:ascii="Tahoma" w:eastAsia="Tahoma" w:hAnsi="Tahoma" w:cs="Tahoma"/>
          <w:color w:val="000000"/>
          <w:sz w:val="21"/>
          <w:szCs w:val="21"/>
          <w:u w:val="single"/>
        </w:rPr>
        <w:t>.</w:t>
      </w:r>
    </w:p>
    <w:p w14:paraId="48C5DEBF" w14:textId="77777777" w:rsidR="00676204" w:rsidRDefault="00676204" w:rsidP="00676204">
      <w:pPr>
        <w:shd w:val="clear" w:color="auto" w:fill="FFFFFF"/>
        <w:jc w:val="both"/>
        <w:rPr>
          <w:rFonts w:ascii="Tahoma" w:eastAsia="Tahoma" w:hAnsi="Tahoma" w:cs="Tahoma"/>
          <w:color w:val="CC9900"/>
          <w:sz w:val="21"/>
          <w:szCs w:val="21"/>
        </w:rPr>
      </w:pPr>
      <w:r>
        <w:rPr>
          <w:rFonts w:ascii="Tahoma" w:eastAsia="Tahoma" w:hAnsi="Tahoma" w:cs="Tahoma"/>
          <w:sz w:val="21"/>
          <w:szCs w:val="21"/>
        </w:rPr>
        <w:t xml:space="preserve">Syndrom suchého oka je nejčastější příčinou pálení a zarudnutí očí, není ale jedinou. Za rudé bělmo může často i obyčejná chřipka. 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„Během chřipky nebo jiných virových onemocnění je pálení očí  a zčervenání bělma poměrně časté. Souvisí s celkovou zánětlivou reakcí organismu, horečkou  či zvýšenou citlivostí sliznic. Ve většině případů jde o přechodný stav, který odezní spolu s ústupem infekce. Pokud je ale pálení výrazné, jednostranné, doprovázené zarudnutím, hnisavým výtokem nebo zhoršením vidění, je vhodné podstoupit oční vyšetření k vyloučení například infekčního zánětu očí,“ </w:t>
      </w:r>
      <w:r>
        <w:rPr>
          <w:rFonts w:ascii="Tahoma" w:eastAsia="Tahoma" w:hAnsi="Tahoma" w:cs="Tahoma"/>
          <w:sz w:val="21"/>
          <w:szCs w:val="21"/>
        </w:rPr>
        <w:t>doporučila Lucia Škrovinová, lékařka kliniky Gemini Zlín.</w:t>
      </w:r>
    </w:p>
    <w:p w14:paraId="69FF201F" w14:textId="77777777" w:rsidR="00676204" w:rsidRDefault="00676204" w:rsidP="00676204">
      <w:pPr>
        <w:shd w:val="clear" w:color="auto" w:fill="FFFFFF"/>
        <w:jc w:val="both"/>
        <w:rPr>
          <w:rFonts w:ascii="Tahoma" w:eastAsia="Tahoma" w:hAnsi="Tahoma" w:cs="Tahoma"/>
          <w:sz w:val="21"/>
          <w:szCs w:val="21"/>
        </w:rPr>
      </w:pPr>
      <w:r>
        <w:rPr>
          <w:rFonts w:ascii="Tahoma" w:eastAsia="Tahoma" w:hAnsi="Tahoma" w:cs="Tahoma"/>
          <w:sz w:val="21"/>
          <w:szCs w:val="21"/>
        </w:rPr>
        <w:t xml:space="preserve">Začervenalé oči nemusejí být ale jen známkou nemoci – často za ně může obyčejná únava. 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„Dlouhé hodiny u počítače, neustálé sledování telefonu nebo stresové období dokážou oči pořádně vyčerpat. Krev se hromadí v jemných cévách na povrchu oka a bělmo zčervená, oči pálí, řežou a mohou i mírně slzet. Opakovaná únava očí signalizuje, že potřebují odpočinek, a neměla by se podceňovat. Může se totiž stát, že přecházení únavy přejde v chronické problémy se zrakem,“ </w:t>
      </w:r>
      <w:r>
        <w:rPr>
          <w:rFonts w:ascii="Tahoma" w:eastAsia="Tahoma" w:hAnsi="Tahoma" w:cs="Tahoma"/>
          <w:sz w:val="21"/>
          <w:szCs w:val="21"/>
        </w:rPr>
        <w:t>upozornil Pavel Stodůlka.</w:t>
      </w:r>
    </w:p>
    <w:p w14:paraId="7B804430" w14:textId="77777777" w:rsidR="00676204" w:rsidRDefault="00676204" w:rsidP="00676204">
      <w:pPr>
        <w:shd w:val="clear" w:color="auto" w:fill="FFFFFF"/>
        <w:jc w:val="both"/>
        <w:rPr>
          <w:rFonts w:ascii="Tahoma" w:eastAsia="Tahoma" w:hAnsi="Tahoma" w:cs="Tahoma"/>
          <w:color w:val="CC9900"/>
          <w:sz w:val="21"/>
          <w:szCs w:val="21"/>
        </w:rPr>
      </w:pPr>
      <w:r>
        <w:rPr>
          <w:rFonts w:ascii="Tahoma" w:eastAsia="Tahoma" w:hAnsi="Tahoma" w:cs="Tahoma"/>
          <w:sz w:val="21"/>
          <w:szCs w:val="21"/>
        </w:rPr>
        <w:t xml:space="preserve">Pokud pálení trvá déle než několik dní, opakuje se nebo se postupně zhoršuje, vyrazte k lékaři. 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„Prvním krokem je omezení zátěže očí, u nositelů kontaktních čoček jejich dočasné vysazení a pravidelné používání kvalitních zvlhčujících očních kapek bez konzervačních látek. Varovným signálem je pálení, které přetrvává delší dobu, neustupuje ani při pravidelném zvlhčování očního povrchu, případně je spojeno s bolestí, zarudnutím očí či víček, rozmazaným viděním nebo hutnou sekrecí z očí. Pokud obtíže přetrvávají navzdory základním opatřením, je namístě vyšetření u očního lékaře. Ten může odhalit například mimo různého stupně suchého oka také zánět spojivek, alergii, blefaritidu - zánět okrajů víček, nebo jiné oční onemocnění. Včasná diagnostika je důležitá, protože cílená léčba přináší rychlou úlevu,“ </w:t>
      </w:r>
      <w:r>
        <w:rPr>
          <w:rFonts w:ascii="Tahoma" w:eastAsia="Tahoma" w:hAnsi="Tahoma" w:cs="Tahoma"/>
          <w:sz w:val="21"/>
          <w:szCs w:val="21"/>
        </w:rPr>
        <w:t>popsala oční lékařka.</w:t>
      </w:r>
    </w:p>
    <w:p w14:paraId="02C4DA1B" w14:textId="77777777" w:rsidR="00676204" w:rsidRDefault="00676204" w:rsidP="00676204">
      <w:pPr>
        <w:jc w:val="both"/>
        <w:rPr>
          <w:rFonts w:ascii="Tahoma" w:eastAsia="Tahoma" w:hAnsi="Tahoma" w:cs="Tahoma"/>
          <w:sz w:val="21"/>
          <w:szCs w:val="21"/>
        </w:rPr>
      </w:pPr>
      <w:bookmarkStart w:id="0" w:name="_a6gia6t2hq61" w:colFirst="0" w:colLast="0"/>
      <w:bookmarkEnd w:id="0"/>
      <w:r>
        <w:rPr>
          <w:rFonts w:ascii="Tahoma" w:eastAsia="Tahoma" w:hAnsi="Tahoma" w:cs="Tahoma"/>
          <w:sz w:val="21"/>
          <w:szCs w:val="21"/>
        </w:rPr>
        <w:lastRenderedPageBreak/>
        <w:t xml:space="preserve">Pálení očí většina lidí zlehčuje. Oční lékaři ale varují, že v některých případech může jít o signál vážnějšího problému, kterému je třeba věnovat pozornost. 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„Pálení a zarudnutí očí může být jedním z příznaků závažnějších očních potíží. Nejčastěji se jedná o chronické záněty povrchu oka, rohovky nebo víček, alergická onemocnění, ale také například o zelený zákal v některých formách nebo třeba i šedý zákal, kdy jsou oči citlivé například na světlo. Proto je důležité nepodceňovat dlouhodobé nebo atypické obtíže,” </w:t>
      </w:r>
      <w:r>
        <w:rPr>
          <w:rFonts w:ascii="Tahoma" w:eastAsia="Tahoma" w:hAnsi="Tahoma" w:cs="Tahoma"/>
          <w:sz w:val="21"/>
          <w:szCs w:val="21"/>
        </w:rPr>
        <w:t>upozornil světově uznávaný oční chirurg.</w:t>
      </w:r>
    </w:p>
    <w:p w14:paraId="54EFEA3D" w14:textId="77777777" w:rsidR="00676204" w:rsidRDefault="00676204" w:rsidP="00676204">
      <w:pPr>
        <w:pBdr>
          <w:bottom w:val="single" w:sz="4" w:space="1" w:color="000000"/>
        </w:pBdr>
        <w:jc w:val="both"/>
        <w:rPr>
          <w:rFonts w:ascii="Tahoma" w:eastAsia="Tahoma" w:hAnsi="Tahoma" w:cs="Tahoma"/>
          <w:sz w:val="21"/>
          <w:szCs w:val="21"/>
        </w:rPr>
      </w:pPr>
      <w:r>
        <w:rPr>
          <w:rFonts w:ascii="Tahoma" w:eastAsia="Tahoma" w:hAnsi="Tahoma" w:cs="Tahoma"/>
          <w:sz w:val="21"/>
          <w:szCs w:val="21"/>
        </w:rPr>
        <w:t xml:space="preserve">Oči mohou prozradit víc, než si myslíme – často dávají první varování, že s tělem něco není v pořádku. Lékaři proto při zarudnutí a pálení očí zjišťují, zda se nejedná o závažnější onemocnění. 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„Možné jsou i spojitosti s celkovými onemocněními. Výše uvedené symptomy se mohou vyskytovat u pacientů s cukrovkou, onemocněním štítné žlázy, autoimunitními chorobami nebo při chronických zánětech dutin. Oči jsou velmi citlivým orgánem a často reagují na změny v celém organismu, proto mohou být úplně prvním signálem, že v těle není něco v rovnováze,” </w:t>
      </w:r>
      <w:r>
        <w:rPr>
          <w:rFonts w:ascii="Tahoma" w:eastAsia="Tahoma" w:hAnsi="Tahoma" w:cs="Tahoma"/>
          <w:sz w:val="21"/>
          <w:szCs w:val="21"/>
        </w:rPr>
        <w:t>uzavřela Lucia Škrovinová.</w:t>
      </w:r>
    </w:p>
    <w:p w14:paraId="12FA1B5A" w14:textId="77777777" w:rsidR="00676204" w:rsidRDefault="00676204" w:rsidP="0067620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b/>
          <w:bCs/>
        </w:rPr>
        <w:t>KONTAKT PRO MÉDIA:</w:t>
      </w:r>
    </w:p>
    <w:p w14:paraId="1FF81979" w14:textId="77777777" w:rsidR="00676204" w:rsidRDefault="00676204" w:rsidP="0067620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jc w:val="both"/>
        <w:rPr>
          <w:rFonts w:ascii="Tahoma" w:eastAsia="Tahoma" w:hAnsi="Tahoma" w:cs="Tahoma"/>
          <w:b/>
          <w:bCs/>
          <w:color w:val="CC9900"/>
          <w:sz w:val="16"/>
          <w:szCs w:val="16"/>
        </w:rPr>
      </w:pPr>
      <w:r>
        <w:rPr>
          <w:rFonts w:ascii="Tahoma" w:eastAsia="Tahoma" w:hAnsi="Tahoma" w:cs="Tahoma"/>
          <w:b/>
          <w:bCs/>
          <w:color w:val="333333"/>
          <w:sz w:val="16"/>
          <w:szCs w:val="16"/>
        </w:rPr>
        <w:t>Mgr. Petra Ďurčíková</w:t>
      </w:r>
      <w:r>
        <w:rPr>
          <w:rFonts w:ascii="Tahoma" w:eastAsia="Tahoma" w:hAnsi="Tahoma" w:cs="Tahoma"/>
          <w:b/>
          <w:bCs/>
          <w:color w:val="CC9900"/>
          <w:sz w:val="16"/>
          <w:szCs w:val="16"/>
        </w:rPr>
        <w:t>_mediální konzultant</w:t>
      </w:r>
    </w:p>
    <w:p w14:paraId="0BF5FF44" w14:textId="77777777" w:rsidR="00676204" w:rsidRDefault="00676204" w:rsidP="0067620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ascii="Tahoma" w:eastAsia="Tahoma" w:hAnsi="Tahoma" w:cs="Tahoma"/>
          <w:b/>
          <w:bCs/>
          <w:sz w:val="16"/>
          <w:szCs w:val="16"/>
        </w:rPr>
      </w:pPr>
      <w:r>
        <w:rPr>
          <w:rFonts w:ascii="Tahoma" w:eastAsia="Tahoma" w:hAnsi="Tahoma" w:cs="Tahoma"/>
          <w:b/>
          <w:bCs/>
          <w:noProof/>
          <w:sz w:val="16"/>
          <w:szCs w:val="16"/>
        </w:rPr>
        <w:drawing>
          <wp:inline distT="0" distB="0" distL="0" distR="0" wp14:anchorId="33D5C2A2" wp14:editId="2A989B84">
            <wp:extent cx="828675" cy="131954"/>
            <wp:effectExtent l="0" t="0" r="0" b="0"/>
            <wp:docPr id="1" name="image1.png" descr="pear_media logo_fin rgb_bez okraju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pear_media logo_fin rgb_bez okraju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13195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74E920A" w14:textId="77777777" w:rsidR="00676204" w:rsidRDefault="00676204" w:rsidP="0067620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ascii="Tahoma" w:eastAsia="Tahoma" w:hAnsi="Tahoma" w:cs="Tahoma"/>
          <w:b/>
          <w:bCs/>
          <w:sz w:val="16"/>
          <w:szCs w:val="16"/>
        </w:rPr>
      </w:pPr>
      <w:r>
        <w:rPr>
          <w:rFonts w:ascii="Tahoma" w:eastAsia="Tahoma" w:hAnsi="Tahoma" w:cs="Tahoma"/>
          <w:b/>
          <w:bCs/>
          <w:sz w:val="16"/>
          <w:szCs w:val="16"/>
        </w:rPr>
        <w:t xml:space="preserve">+420 733 643 825, </w:t>
      </w:r>
      <w:hyperlink r:id="rId6">
        <w:r>
          <w:rPr>
            <w:rFonts w:ascii="Tahoma" w:eastAsia="Tahoma" w:hAnsi="Tahoma" w:cs="Tahoma"/>
            <w:b/>
            <w:bCs/>
            <w:color w:val="0000FF"/>
            <w:sz w:val="16"/>
            <w:szCs w:val="16"/>
            <w:u w:val="single"/>
          </w:rPr>
          <w:t>petra@pearmedia.cz</w:t>
        </w:r>
      </w:hyperlink>
      <w:r>
        <w:rPr>
          <w:rFonts w:ascii="Tahoma" w:eastAsia="Tahoma" w:hAnsi="Tahoma" w:cs="Tahoma"/>
          <w:b/>
          <w:bCs/>
          <w:sz w:val="16"/>
          <w:szCs w:val="16"/>
        </w:rPr>
        <w:t xml:space="preserve"> </w:t>
      </w:r>
    </w:p>
    <w:p w14:paraId="1C458EA2" w14:textId="77777777" w:rsidR="00676204" w:rsidRDefault="00676204" w:rsidP="00676204">
      <w:pPr>
        <w:pBdr>
          <w:bottom w:val="single" w:sz="6" w:space="0" w:color="000000"/>
        </w:pBdr>
        <w:spacing w:line="240" w:lineRule="auto"/>
        <w:rPr>
          <w:rFonts w:ascii="Tahoma" w:eastAsia="Tahoma" w:hAnsi="Tahoma" w:cs="Tahoma"/>
          <w:sz w:val="18"/>
          <w:szCs w:val="18"/>
        </w:rPr>
      </w:pPr>
      <w:hyperlink r:id="rId7">
        <w:r>
          <w:rPr>
            <w:rFonts w:ascii="Tahoma" w:eastAsia="Tahoma" w:hAnsi="Tahoma" w:cs="Tahoma"/>
            <w:b/>
            <w:bCs/>
            <w:color w:val="0000FF"/>
            <w:sz w:val="16"/>
            <w:szCs w:val="16"/>
            <w:u w:val="single"/>
          </w:rPr>
          <w:t>pearmedia.cz</w:t>
        </w:r>
      </w:hyperlink>
      <w:r>
        <w:rPr>
          <w:rFonts w:ascii="Tahoma" w:eastAsia="Tahoma" w:hAnsi="Tahoma" w:cs="Tahoma"/>
          <w:sz w:val="20"/>
          <w:szCs w:val="20"/>
        </w:rPr>
        <w:br/>
      </w:r>
    </w:p>
    <w:p w14:paraId="337DA037" w14:textId="77777777" w:rsidR="00676204" w:rsidRDefault="00676204" w:rsidP="00676204">
      <w:pPr>
        <w:jc w:val="both"/>
      </w:pPr>
      <w:r>
        <w:rPr>
          <w:rFonts w:ascii="Tahoma" w:eastAsia="Tahoma" w:hAnsi="Tahoma" w:cs="Tahoma"/>
          <w:b/>
          <w:bCs/>
          <w:sz w:val="18"/>
          <w:szCs w:val="18"/>
        </w:rPr>
        <w:t xml:space="preserve">SOUKROMÁ OČNÍ KLINIKA GEMINI, </w:t>
      </w:r>
      <w:hyperlink r:id="rId8">
        <w:r>
          <w:rPr>
            <w:rFonts w:ascii="Tahoma" w:eastAsia="Tahoma" w:hAnsi="Tahoma" w:cs="Tahoma"/>
            <w:b/>
            <w:bCs/>
            <w:color w:val="0000FF"/>
            <w:sz w:val="18"/>
            <w:szCs w:val="18"/>
            <w:u w:val="single"/>
          </w:rPr>
          <w:t>www.gemini.cz</w:t>
        </w:r>
      </w:hyperlink>
    </w:p>
    <w:p w14:paraId="75781CC4" w14:textId="77777777" w:rsidR="00676204" w:rsidRDefault="00676204" w:rsidP="00676204">
      <w:pPr>
        <w:jc w:val="both"/>
        <w:rPr>
          <w:rFonts w:ascii="Tahoma" w:eastAsia="Tahoma" w:hAnsi="Tahoma" w:cs="Tahoma"/>
          <w:sz w:val="18"/>
          <w:szCs w:val="18"/>
        </w:rPr>
      </w:pPr>
      <w:r>
        <w:rPr>
          <w:rFonts w:ascii="Tahoma" w:eastAsia="Tahoma" w:hAnsi="Tahoma" w:cs="Tahoma"/>
          <w:sz w:val="18"/>
          <w:szCs w:val="18"/>
        </w:rPr>
        <w:t>Soukromá oční klinika Gemini rozvíjí dlouholetou tradici zlínské oční chirurgie. První klinika byla otevřena ve Zlíně v roce 2003 a v současnosti provozuje klinika v České republice deset pracovišť: ve Zlíně, v Průhonicích u Prahy, Praze-Jinonicích, Českých Budějovicích, Ostravě, Vyškově, Brně, Novém Jičíně a Liberci. Jako jediná česká oční klinika otevřela pracoviště také ve Vídni. Vedle operací zbavujících pacienty potřeby nosit brýle a operací šedého zákalu se na klinikách provádějí i estetické zákroky, jako například plastika horních a dolních víček. Ročně se na klinice provede více než 40 000 zákroků. V současnosti v Gemini pracuje přes 400 zaměstnanců. V čele týmu operatérů stojí světově uznávaný oční chirurg prim. MUDr. Pavel Stodůlka, Ph.D., FEBOS-CR.</w:t>
      </w:r>
    </w:p>
    <w:p w14:paraId="1BF493A6" w14:textId="77777777" w:rsidR="00676204" w:rsidRDefault="00676204" w:rsidP="00676204"/>
    <w:p w14:paraId="10D1184E" w14:textId="77777777" w:rsidR="00676204" w:rsidRDefault="00676204" w:rsidP="00676204"/>
    <w:p w14:paraId="409E2960" w14:textId="77777777" w:rsidR="00676204" w:rsidRDefault="00676204" w:rsidP="00676204"/>
    <w:p w14:paraId="0EA614D4" w14:textId="77777777" w:rsidR="00676204" w:rsidRDefault="00676204" w:rsidP="00676204"/>
    <w:p w14:paraId="1479D166" w14:textId="77777777" w:rsidR="00676204" w:rsidRDefault="00676204" w:rsidP="00676204"/>
    <w:p w14:paraId="2062FB5E" w14:textId="77777777" w:rsidR="00676204" w:rsidRDefault="00676204" w:rsidP="00676204"/>
    <w:p w14:paraId="1051F94D" w14:textId="77777777" w:rsidR="00676204" w:rsidRDefault="00676204" w:rsidP="00676204"/>
    <w:p w14:paraId="29B5729E" w14:textId="77777777" w:rsidR="00676204" w:rsidRDefault="00676204"/>
    <w:sectPr w:rsidR="00676204" w:rsidSect="00676204">
      <w:headerReference w:type="default" r:id="rId9"/>
      <w:footerReference w:type="default" r:id="rId10"/>
      <w:pgSz w:w="11900" w:h="16840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C8337" w14:textId="77777777" w:rsidR="00676204" w:rsidRDefault="0067620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right" w:pos="9046"/>
      </w:tabs>
      <w:spacing w:after="0" w:line="240" w:lineRule="auto"/>
      <w:rPr>
        <w:color w:val="000000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2E88D" w14:textId="77777777" w:rsidR="00676204" w:rsidRDefault="00676204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  <w:tab w:val="right" w:pos="9046"/>
      </w:tabs>
      <w:spacing w:after="0" w:line="240" w:lineRule="auto"/>
      <w:jc w:val="both"/>
      <w:rPr>
        <w:b/>
        <w:bCs/>
        <w:color w:val="000000"/>
        <w:sz w:val="36"/>
        <w:szCs w:val="36"/>
      </w:rPr>
    </w:pPr>
    <w:r>
      <w:rPr>
        <w:b/>
        <w:bCs/>
        <w:noProof/>
        <w:color w:val="000000"/>
        <w:sz w:val="36"/>
        <w:szCs w:val="36"/>
      </w:rPr>
      <w:drawing>
        <wp:inline distT="0" distB="0" distL="0" distR="0" wp14:anchorId="0987CE89" wp14:editId="3A0B05DB">
          <wp:extent cx="3536786" cy="647700"/>
          <wp:effectExtent l="0" t="0" r="0" b="0"/>
          <wp:docPr id="2" name="image2.png" descr="C:\Users\Notebook\Downloads\logo_gemini_ocni_klinika_RGB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C:\Users\Notebook\Downloads\logo_gemini_ocni_klinika_RGB.jpg"/>
                  <pic:cNvPicPr preferRelativeResize="0"/>
                </pic:nvPicPr>
                <pic:blipFill>
                  <a:blip r:embed="rId1"/>
                  <a:srcRect l="13753" t="36594" r="13050" b="35868"/>
                  <a:stretch>
                    <a:fillRect/>
                  </a:stretch>
                </pic:blipFill>
                <pic:spPr>
                  <a:xfrm>
                    <a:off x="0" y="0"/>
                    <a:ext cx="3536786" cy="6477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b/>
        <w:bCs/>
        <w:color w:val="000000"/>
        <w:sz w:val="36"/>
        <w:szCs w:val="36"/>
      </w:rPr>
      <w:tab/>
      <w:t>TISKOVÁ ZPRÁVA</w:t>
    </w:r>
  </w:p>
  <w:p w14:paraId="0DF03BA6" w14:textId="77777777" w:rsidR="00676204" w:rsidRDefault="00676204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  <w:tab w:val="right" w:pos="9046"/>
      </w:tabs>
      <w:spacing w:after="0" w:line="240" w:lineRule="auto"/>
      <w:jc w:val="both"/>
      <w:rPr>
        <w:b/>
        <w:bCs/>
        <w:color w:val="000000"/>
        <w:sz w:val="36"/>
        <w:szCs w:val="36"/>
      </w:rPr>
    </w:pPr>
  </w:p>
  <w:p w14:paraId="542CFB49" w14:textId="77777777" w:rsidR="00676204" w:rsidRDefault="00676204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  <w:tab w:val="right" w:pos="9046"/>
      </w:tabs>
      <w:spacing w:after="0" w:line="240" w:lineRule="auto"/>
      <w:jc w:val="both"/>
      <w:rPr>
        <w:b/>
        <w:bCs/>
        <w:color w:val="000000"/>
        <w:sz w:val="2"/>
        <w:szCs w:val="2"/>
      </w:rPr>
    </w:pPr>
  </w:p>
  <w:p w14:paraId="5CB11142" w14:textId="77777777" w:rsidR="00676204" w:rsidRDefault="00676204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  <w:tab w:val="right" w:pos="9046"/>
      </w:tabs>
      <w:spacing w:after="0" w:line="240" w:lineRule="auto"/>
      <w:jc w:val="both"/>
      <w:rPr>
        <w:b/>
        <w:bCs/>
        <w:color w:val="000000"/>
        <w:sz w:val="2"/>
        <w:szCs w:val="2"/>
      </w:rPr>
    </w:pPr>
  </w:p>
  <w:p w14:paraId="0FF006D8" w14:textId="77777777" w:rsidR="00676204" w:rsidRDefault="00676204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  <w:tab w:val="right" w:pos="9046"/>
      </w:tabs>
      <w:spacing w:after="0" w:line="240" w:lineRule="auto"/>
      <w:jc w:val="both"/>
      <w:rPr>
        <w:b/>
        <w:bCs/>
        <w:color w:val="000000"/>
        <w:sz w:val="2"/>
        <w:szCs w:val="2"/>
      </w:rPr>
    </w:pPr>
  </w:p>
  <w:p w14:paraId="0643353C" w14:textId="77777777" w:rsidR="00676204" w:rsidRDefault="00676204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  <w:tab w:val="right" w:pos="9046"/>
      </w:tabs>
      <w:spacing w:after="0" w:line="240" w:lineRule="auto"/>
      <w:jc w:val="both"/>
      <w:rPr>
        <w:b/>
        <w:bCs/>
        <w:color w:val="000000"/>
        <w:sz w:val="2"/>
        <w:szCs w:val="2"/>
      </w:rPr>
    </w:pPr>
  </w:p>
  <w:p w14:paraId="5B5DEB14" w14:textId="77777777" w:rsidR="00676204" w:rsidRDefault="00676204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  <w:tab w:val="right" w:pos="9046"/>
      </w:tabs>
      <w:spacing w:after="0" w:line="240" w:lineRule="auto"/>
      <w:jc w:val="both"/>
      <w:rPr>
        <w:b/>
        <w:bCs/>
        <w:color w:val="000000"/>
        <w:sz w:val="2"/>
        <w:szCs w:val="2"/>
      </w:rPr>
    </w:pPr>
  </w:p>
  <w:p w14:paraId="3D104584" w14:textId="77777777" w:rsidR="00676204" w:rsidRDefault="00676204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  <w:tab w:val="right" w:pos="9046"/>
      </w:tabs>
      <w:spacing w:after="0" w:line="240" w:lineRule="auto"/>
      <w:jc w:val="both"/>
      <w:rPr>
        <w:b/>
        <w:bCs/>
        <w:color w:val="000000"/>
        <w:sz w:val="2"/>
        <w:szCs w:val="2"/>
      </w:rPr>
    </w:pPr>
  </w:p>
  <w:p w14:paraId="3447BE55" w14:textId="77777777" w:rsidR="00676204" w:rsidRDefault="00676204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  <w:tab w:val="right" w:pos="9046"/>
      </w:tabs>
      <w:spacing w:after="0" w:line="240" w:lineRule="auto"/>
      <w:jc w:val="both"/>
      <w:rPr>
        <w:b/>
        <w:bCs/>
        <w:color w:val="000000"/>
        <w:sz w:val="2"/>
        <w:szCs w:val="2"/>
      </w:rPr>
    </w:pPr>
  </w:p>
  <w:p w14:paraId="3F5D9381" w14:textId="77777777" w:rsidR="00676204" w:rsidRDefault="00676204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  <w:tab w:val="right" w:pos="9046"/>
      </w:tabs>
      <w:spacing w:after="0" w:line="240" w:lineRule="auto"/>
      <w:jc w:val="both"/>
      <w:rPr>
        <w:b/>
        <w:bCs/>
        <w:color w:val="000000"/>
        <w:sz w:val="2"/>
        <w:szCs w:val="2"/>
      </w:rPr>
    </w:pPr>
  </w:p>
  <w:p w14:paraId="03F0806D" w14:textId="77777777" w:rsidR="00676204" w:rsidRDefault="00676204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  <w:tab w:val="right" w:pos="9046"/>
      </w:tabs>
      <w:spacing w:after="0" w:line="240" w:lineRule="auto"/>
      <w:jc w:val="both"/>
      <w:rPr>
        <w:b/>
        <w:bCs/>
        <w:color w:val="000000"/>
        <w:sz w:val="2"/>
        <w:szCs w:val="2"/>
      </w:rPr>
    </w:pPr>
  </w:p>
  <w:p w14:paraId="3C7B90CB" w14:textId="77777777" w:rsidR="00676204" w:rsidRDefault="00676204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  <w:tab w:val="right" w:pos="9046"/>
      </w:tabs>
      <w:spacing w:after="0" w:line="240" w:lineRule="auto"/>
      <w:jc w:val="both"/>
      <w:rPr>
        <w:b/>
        <w:bCs/>
        <w:color w:val="000000"/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204"/>
    <w:rsid w:val="00676204"/>
    <w:rsid w:val="00BC0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7B6379"/>
  <w15:chartTrackingRefBased/>
  <w15:docId w15:val="{8ADEA5A2-E722-40CD-B217-D1E32681B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76204"/>
    <w:pPr>
      <w:spacing w:after="200" w:line="276" w:lineRule="auto"/>
    </w:pPr>
    <w:rPr>
      <w:rFonts w:ascii="Calibri" w:eastAsia="Calibri" w:hAnsi="Calibri" w:cs="Calibri"/>
      <w:kern w:val="0"/>
      <w:sz w:val="22"/>
      <w:szCs w:val="22"/>
      <w:lang w:val="it"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67620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cs-CZ" w:eastAsia="en-US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7620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cs-CZ" w:eastAsia="en-US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7620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cs-CZ" w:eastAsia="en-US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7620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cs-CZ" w:eastAsia="en-US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7620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cs-CZ" w:eastAsia="en-US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76204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cs-CZ" w:eastAsia="en-US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76204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cs-CZ" w:eastAsia="en-US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76204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cs-CZ" w:eastAsia="en-US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76204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cs-CZ" w:eastAsia="en-US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762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762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762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76204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76204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7620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7620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7620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7620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762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cs-CZ" w:eastAsia="en-US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6762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7620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cs-CZ" w:eastAsia="en-US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6762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76204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cs-CZ" w:eastAsia="en-US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67620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76204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cs-CZ" w:eastAsia="en-US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676204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762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val="cs-CZ" w:eastAsia="en-US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76204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7620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emini.cz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earmedia.cz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etra@pearmedia.cz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footer" Target="footer1.xml"/><Relationship Id="rId4" Type="http://schemas.openxmlformats.org/officeDocument/2006/relationships/hyperlink" Target="http://www.gemini.cz/" TargetMode="Externa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767</Words>
  <Characters>4527</Characters>
  <Application>Microsoft Office Word</Application>
  <DocSecurity>0</DocSecurity>
  <Lines>37</Lines>
  <Paragraphs>10</Paragraphs>
  <ScaleCrop>false</ScaleCrop>
  <Company/>
  <LinksUpToDate>false</LinksUpToDate>
  <CharactersWithSpaces>5284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Ďurčíková</dc:creator>
  <cp:keywords/>
  <dc:description/>
  <cp:lastModifiedBy>Petra Ďurčíková</cp:lastModifiedBy>
  <cp:revision>1</cp:revision>
  <dcterms:created xsi:type="dcterms:W3CDTF">2026-02-02T17:59:00Z</dcterms:created>
  <dcterms:modified xsi:type="dcterms:W3CDTF">2026-02-02T17:59:00Z</dcterms:modified>
</cp:coreProperties>
</file>