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21B0B" w14:textId="77777777" w:rsidR="00AD5551" w:rsidRDefault="00AD5551" w:rsidP="00AD5551">
      <w:pPr>
        <w:jc w:val="center"/>
        <w:rPr>
          <w:rFonts w:ascii="Tahoma" w:eastAsia="Tahoma" w:hAnsi="Tahoma" w:cs="Tahoma"/>
          <w:b/>
          <w:sz w:val="36"/>
          <w:szCs w:val="36"/>
        </w:rPr>
      </w:pPr>
      <w:r>
        <w:rPr>
          <w:rFonts w:ascii="Tahoma" w:eastAsia="Tahoma" w:hAnsi="Tahoma" w:cs="Tahoma"/>
          <w:b/>
          <w:sz w:val="36"/>
          <w:szCs w:val="36"/>
        </w:rPr>
        <w:t>Operace horních víček není jen o vzhledu. Povadlá víčka mohou způsobit zdravotní komplikace</w:t>
      </w:r>
    </w:p>
    <w:p w14:paraId="552464F0" w14:textId="36387187" w:rsidR="00AD5551" w:rsidRDefault="00AD5551" w:rsidP="00AD5551">
      <w:pPr>
        <w:jc w:val="both"/>
        <w:rPr>
          <w:rFonts w:ascii="Tahoma" w:eastAsia="Tahoma" w:hAnsi="Tahoma" w:cs="Tahoma"/>
          <w:b/>
          <w:sz w:val="21"/>
          <w:szCs w:val="21"/>
        </w:rPr>
      </w:pPr>
      <w:r>
        <w:rPr>
          <w:rFonts w:ascii="Tahoma" w:eastAsia="Tahoma" w:hAnsi="Tahoma" w:cs="Tahoma"/>
          <w:b/>
          <w:sz w:val="21"/>
          <w:szCs w:val="21"/>
        </w:rPr>
        <w:t xml:space="preserve">PRAHA, </w:t>
      </w:r>
      <w:r w:rsidR="000F5306">
        <w:rPr>
          <w:rFonts w:ascii="Tahoma" w:eastAsia="Tahoma" w:hAnsi="Tahoma" w:cs="Tahoma"/>
          <w:b/>
          <w:sz w:val="21"/>
          <w:szCs w:val="21"/>
        </w:rPr>
        <w:t>4</w:t>
      </w:r>
      <w:r>
        <w:rPr>
          <w:rFonts w:ascii="Tahoma" w:eastAsia="Tahoma" w:hAnsi="Tahoma" w:cs="Tahoma"/>
          <w:b/>
          <w:sz w:val="21"/>
          <w:szCs w:val="21"/>
        </w:rPr>
        <w:t>.</w:t>
      </w:r>
      <w:r w:rsidR="000F5306">
        <w:rPr>
          <w:rFonts w:ascii="Tahoma" w:eastAsia="Tahoma" w:hAnsi="Tahoma" w:cs="Tahoma"/>
          <w:b/>
          <w:sz w:val="21"/>
          <w:szCs w:val="21"/>
        </w:rPr>
        <w:t xml:space="preserve"> ÚNORA</w:t>
      </w:r>
      <w:r>
        <w:rPr>
          <w:rFonts w:ascii="Tahoma" w:eastAsia="Tahoma" w:hAnsi="Tahoma" w:cs="Tahoma"/>
          <w:b/>
          <w:sz w:val="21"/>
          <w:szCs w:val="21"/>
        </w:rPr>
        <w:t xml:space="preserve"> 2025 – K nejčastěji prováděným estetickým zákrokům patří operace horních víček. Důvodem, proč operaci lidé podstupují, není ale pouze vylepšení vzhledu. Do ordinací je často přivádějí i zdravotní problémy. Převis horního víčka může vytvářet tlak na oči, zužovat zorné pole nebo vyvolávat pocit únavy, která může přerůst v bolest hlavy.</w:t>
      </w:r>
    </w:p>
    <w:p w14:paraId="70413343" w14:textId="77777777" w:rsidR="00AD5551" w:rsidRDefault="00AD5551" w:rsidP="00AD5551">
      <w:pPr>
        <w:jc w:val="both"/>
        <w:rPr>
          <w:rFonts w:ascii="Tahoma" w:eastAsia="Tahoma" w:hAnsi="Tahoma" w:cs="Tahoma"/>
          <w:color w:val="CC9900"/>
          <w:sz w:val="21"/>
          <w:szCs w:val="21"/>
        </w:rPr>
      </w:pPr>
      <w:r>
        <w:rPr>
          <w:rFonts w:ascii="Tahoma" w:eastAsia="Tahoma" w:hAnsi="Tahoma" w:cs="Tahoma"/>
          <w:sz w:val="21"/>
          <w:szCs w:val="21"/>
        </w:rPr>
        <w:t xml:space="preserve">Úpravu očních víček podstupují ženy i muži, a to v mladším věku, než tomu bylo v minulosti. </w:t>
      </w:r>
      <w:r>
        <w:rPr>
          <w:rFonts w:ascii="Tahoma" w:eastAsia="Tahoma" w:hAnsi="Tahoma" w:cs="Tahoma"/>
          <w:color w:val="CC9900"/>
          <w:sz w:val="21"/>
          <w:szCs w:val="21"/>
        </w:rPr>
        <w:t xml:space="preserve">„Mezi nejčastější zákroky plastické chirurgie patří operace horních víček. Ty podstupují z 60 procent ženy a ze 40 procent muži, kterých každým rokem přibývá. Typickými pacienty jsou čtyřicátníci a starší. Není ovšem výjimkou, že se na lékaře obracejí i mladší,“ </w:t>
      </w:r>
      <w:r>
        <w:rPr>
          <w:rFonts w:ascii="Tahoma" w:eastAsia="Tahoma" w:hAnsi="Tahoma" w:cs="Tahoma"/>
          <w:sz w:val="21"/>
          <w:szCs w:val="21"/>
        </w:rPr>
        <w:t xml:space="preserve">řekl Pavel Stodůlka, přednosta sítě očních klinik </w:t>
      </w:r>
      <w:hyperlink r:id="rId6">
        <w:r>
          <w:rPr>
            <w:rFonts w:ascii="Tahoma" w:eastAsia="Tahoma" w:hAnsi="Tahoma" w:cs="Tahoma"/>
            <w:color w:val="1155CC"/>
            <w:sz w:val="21"/>
            <w:szCs w:val="21"/>
            <w:u w:val="single"/>
          </w:rPr>
          <w:t>Gemini</w:t>
        </w:r>
      </w:hyperlink>
      <w:r>
        <w:rPr>
          <w:rFonts w:ascii="Tahoma" w:eastAsia="Tahoma" w:hAnsi="Tahoma" w:cs="Tahoma"/>
          <w:sz w:val="21"/>
          <w:szCs w:val="21"/>
        </w:rPr>
        <w:t>.</w:t>
      </w:r>
    </w:p>
    <w:p w14:paraId="105876A5" w14:textId="77777777" w:rsidR="00AD5551" w:rsidRDefault="00AD5551" w:rsidP="00AD5551">
      <w:pPr>
        <w:jc w:val="both"/>
        <w:rPr>
          <w:rFonts w:ascii="Tahoma" w:eastAsia="Tahoma" w:hAnsi="Tahoma" w:cs="Tahoma"/>
          <w:sz w:val="21"/>
          <w:szCs w:val="21"/>
        </w:rPr>
      </w:pPr>
      <w:r>
        <w:rPr>
          <w:rFonts w:ascii="Tahoma" w:eastAsia="Tahoma" w:hAnsi="Tahoma" w:cs="Tahoma"/>
          <w:sz w:val="21"/>
          <w:szCs w:val="21"/>
        </w:rPr>
        <w:t xml:space="preserve">Takzvané „převislé“ oční víčko je dáno nejen věkem, ale především genetickými předpoklady. </w:t>
      </w:r>
      <w:r>
        <w:rPr>
          <w:rFonts w:ascii="Tahoma" w:eastAsia="Tahoma" w:hAnsi="Tahoma" w:cs="Tahoma"/>
          <w:color w:val="CC9900"/>
          <w:sz w:val="21"/>
          <w:szCs w:val="21"/>
        </w:rPr>
        <w:t xml:space="preserve">„V očním okolí je kůže nejjemnější, navíc je téměř neustále v pohybu. K poklesu může dojít i v mladším věku v závislosti na kvalitě elasticity pokožky. Když se pružnost sníží, vlivem gravitace se vytvoří převis kůže. U horního víčka pak může dojít k jeho přepadávání přes okraj. Pokud horní víčka začnou ztrácet svůj tvar, bez zákroku plastického chirurga se už nikdy zpět nevrátí. Čím dál častěji se proto v ordinacích setkáváme s pacienty kolem třiceti let, kteří chtějí svůj problém řešit okamžitě,“ </w:t>
      </w:r>
      <w:r>
        <w:rPr>
          <w:rFonts w:ascii="Tahoma" w:eastAsia="Tahoma" w:hAnsi="Tahoma" w:cs="Tahoma"/>
          <w:sz w:val="21"/>
          <w:szCs w:val="21"/>
        </w:rPr>
        <w:t xml:space="preserve">uvedl Pavel Stodůlka. </w:t>
      </w:r>
    </w:p>
    <w:p w14:paraId="2CCC6199" w14:textId="77777777" w:rsidR="00AD5551" w:rsidRDefault="00AD5551" w:rsidP="00AD5551">
      <w:pPr>
        <w:jc w:val="both"/>
        <w:rPr>
          <w:rFonts w:ascii="Tahoma" w:eastAsia="Tahoma" w:hAnsi="Tahoma" w:cs="Tahoma"/>
          <w:color w:val="CC9900"/>
          <w:sz w:val="21"/>
          <w:szCs w:val="21"/>
        </w:rPr>
      </w:pPr>
      <w:r>
        <w:rPr>
          <w:rFonts w:ascii="Tahoma" w:eastAsia="Tahoma" w:hAnsi="Tahoma" w:cs="Tahoma"/>
          <w:sz w:val="21"/>
          <w:szCs w:val="21"/>
        </w:rPr>
        <w:t>V mnohých případech není hlavním motivem pouhé omlazení obličeje, ale zdravotní hledisko.</w:t>
      </w:r>
      <w:r>
        <w:rPr>
          <w:rFonts w:ascii="Tahoma" w:eastAsia="Tahoma" w:hAnsi="Tahoma" w:cs="Tahoma"/>
          <w:color w:val="CC9900"/>
          <w:sz w:val="21"/>
          <w:szCs w:val="21"/>
        </w:rPr>
        <w:t xml:space="preserve"> „Kvůli spadlému víčku vypadá obličej unaveně a starší. Kromě toho, že takové oční víčko nevypadá esteticky pěkně, může způsobovat i řadu dalších komplikací. Především může vytvářet tlak na oči, vyvolávat pocit únavy a omezovat zorné pole.</w:t>
      </w:r>
      <w:r>
        <w:rPr>
          <w:rFonts w:ascii="Roboto" w:eastAsia="Roboto" w:hAnsi="Roboto" w:cs="Roboto"/>
          <w:color w:val="444746"/>
          <w:sz w:val="21"/>
          <w:szCs w:val="21"/>
        </w:rPr>
        <w:t xml:space="preserve"> </w:t>
      </w:r>
      <w:r>
        <w:rPr>
          <w:rFonts w:ascii="Tahoma" w:eastAsia="Tahoma" w:hAnsi="Tahoma" w:cs="Tahoma"/>
          <w:color w:val="CC9900"/>
          <w:sz w:val="21"/>
          <w:szCs w:val="21"/>
        </w:rPr>
        <w:t>Někdy mohou převislá oční víčka také i zužovat zorné pole. Převis může také vést ke zvýšení tlaku na oko a tím k rozmazanému vidění, což operace vyřeší,“</w:t>
      </w:r>
      <w:r>
        <w:rPr>
          <w:rFonts w:ascii="Tahoma" w:eastAsia="Tahoma" w:hAnsi="Tahoma" w:cs="Tahoma"/>
          <w:b/>
          <w:color w:val="CC9900"/>
          <w:sz w:val="21"/>
          <w:szCs w:val="21"/>
        </w:rPr>
        <w:t xml:space="preserve"> </w:t>
      </w:r>
      <w:r>
        <w:rPr>
          <w:rFonts w:ascii="Tahoma" w:eastAsia="Tahoma" w:hAnsi="Tahoma" w:cs="Tahoma"/>
          <w:sz w:val="21"/>
          <w:szCs w:val="21"/>
        </w:rPr>
        <w:t>upozornil Pavel Stodůlka.</w:t>
      </w:r>
    </w:p>
    <w:p w14:paraId="37C8F343" w14:textId="2A718B21" w:rsidR="00AD5551" w:rsidRDefault="00AD5551" w:rsidP="00AD5551">
      <w:pPr>
        <w:jc w:val="both"/>
        <w:rPr>
          <w:rFonts w:ascii="Tahoma" w:eastAsia="Tahoma" w:hAnsi="Tahoma" w:cs="Tahoma"/>
          <w:color w:val="CC9900"/>
          <w:sz w:val="21"/>
          <w:szCs w:val="21"/>
        </w:rPr>
      </w:pPr>
      <w:r>
        <w:rPr>
          <w:rFonts w:ascii="Tahoma" w:eastAsia="Tahoma" w:hAnsi="Tahoma" w:cs="Tahoma"/>
          <w:sz w:val="21"/>
          <w:szCs w:val="21"/>
        </w:rPr>
        <w:t xml:space="preserve">Způsoby, jak se zbavit povislých očních víček, jsou dva. Buď plastická operace, nebo méně invazivní metoda pomocí přístroje Plexr. </w:t>
      </w:r>
      <w:r>
        <w:rPr>
          <w:rFonts w:ascii="Tahoma" w:eastAsia="Tahoma" w:hAnsi="Tahoma" w:cs="Tahoma"/>
          <w:color w:val="CC9900"/>
          <w:sz w:val="21"/>
          <w:szCs w:val="21"/>
        </w:rPr>
        <w:t xml:space="preserve">„Jedná se o moderní metodu, která využívá plazmovou technologii k šetrnému odstranění přebytečné kůže na horních či dolních víčkách. Plexr je plazmový generátor, který ionizuje plyny mezi pokožkou a přístrojem, tím dochází k tvorbě plazmy a opaření nežádoucí tkáně. Také stimuluje tvorbu kolagenu a celkově zpevňuje oční okolí. Zákrok je bezbolestný díky aplikaci anestetického krému nebo znecitlivující injekce na místo, které bude ošetřováno. Korekci víček pomocí Plexru volíme většinou u pacientů mladších, s méně povislými víčky,“ </w:t>
      </w:r>
      <w:r>
        <w:rPr>
          <w:rFonts w:ascii="Tahoma" w:eastAsia="Tahoma" w:hAnsi="Tahoma" w:cs="Tahoma"/>
          <w:sz w:val="21"/>
          <w:szCs w:val="21"/>
        </w:rPr>
        <w:t>popsala Anna Varsami, lékařka oční kliniky Gemini.</w:t>
      </w:r>
    </w:p>
    <w:p w14:paraId="33293286" w14:textId="77777777" w:rsidR="00AD5551" w:rsidRDefault="00AD5551" w:rsidP="00AD5551">
      <w:pPr>
        <w:pBdr>
          <w:bottom w:val="single" w:sz="4" w:space="1" w:color="000000"/>
        </w:pBdr>
        <w:jc w:val="both"/>
        <w:rPr>
          <w:rFonts w:ascii="Tahoma" w:eastAsia="Tahoma" w:hAnsi="Tahoma" w:cs="Tahoma"/>
          <w:sz w:val="21"/>
          <w:szCs w:val="21"/>
          <w:highlight w:val="red"/>
        </w:rPr>
      </w:pPr>
      <w:r>
        <w:rPr>
          <w:rFonts w:ascii="Tahoma" w:eastAsia="Tahoma" w:hAnsi="Tahoma" w:cs="Tahoma"/>
          <w:sz w:val="21"/>
          <w:szCs w:val="21"/>
        </w:rPr>
        <w:t xml:space="preserve">Ani chirurgická korekce víček se ale neřadí ke složitým zákrokům. Provádí se ambulantně v lokální anestezii. </w:t>
      </w:r>
      <w:r>
        <w:rPr>
          <w:rFonts w:ascii="Tahoma" w:eastAsia="Tahoma" w:hAnsi="Tahoma" w:cs="Tahoma"/>
          <w:color w:val="CC9900"/>
          <w:sz w:val="21"/>
          <w:szCs w:val="21"/>
        </w:rPr>
        <w:t xml:space="preserve">„Zejména ve vyšším věku je vhodná operace, konzervativní metody jsou vhodnější pro počínající problémy. Jedná se o poměrně nenáročný a bezpečný zákrok, kterým je možné během krátkého času výrazně omladit obličej. Zákrok trvá okolo 45 minut. Rekonvalescence zabere přibližně týden,“ </w:t>
      </w:r>
      <w:r>
        <w:rPr>
          <w:rFonts w:ascii="Tahoma" w:eastAsia="Tahoma" w:hAnsi="Tahoma" w:cs="Tahoma"/>
          <w:sz w:val="21"/>
          <w:szCs w:val="21"/>
        </w:rPr>
        <w:t>doplnila Varsami.</w:t>
      </w:r>
    </w:p>
    <w:p w14:paraId="4E8408B5" w14:textId="77777777" w:rsidR="00AD5551" w:rsidRPr="00D72525" w:rsidRDefault="00AD5551" w:rsidP="00AD5551">
      <w:pPr>
        <w:pBdr>
          <w:bottom w:val="single" w:sz="4" w:space="1" w:color="000000"/>
        </w:pBdr>
        <w:jc w:val="both"/>
        <w:rPr>
          <w:rFonts w:ascii="Tahoma" w:eastAsia="Tahoma" w:hAnsi="Tahoma" w:cs="Tahoma"/>
          <w:color w:val="F6B26B"/>
          <w:sz w:val="21"/>
          <w:szCs w:val="21"/>
        </w:rPr>
      </w:pPr>
      <w:r>
        <w:rPr>
          <w:rFonts w:ascii="Tahoma" w:eastAsia="Tahoma" w:hAnsi="Tahoma" w:cs="Tahoma"/>
          <w:sz w:val="21"/>
          <w:szCs w:val="21"/>
        </w:rPr>
        <w:lastRenderedPageBreak/>
        <w:t xml:space="preserve">Oční klinika Gemini se vedle operace víček specializuje také na estetické zákroky, které zpomalují známky stárnutí s důrazem na zachování autentického vzhledu. </w:t>
      </w:r>
      <w:r>
        <w:rPr>
          <w:rFonts w:ascii="Tahoma" w:eastAsia="Tahoma" w:hAnsi="Tahoma" w:cs="Tahoma"/>
          <w:color w:val="CC9900"/>
          <w:sz w:val="21"/>
          <w:szCs w:val="21"/>
        </w:rPr>
        <w:t xml:space="preserve">„Pomocí kyseliny hyaluronové dokážeme vyplnit kruhy pod očima, obnovit objem tváří, zjemnit rysy, zvýraznit kontury obličeje nebo přirozeně zvětšit rty. Pro zjemnění či prevenci vrásek nabízíme aplikaci botulotoxinu, která je vhodná zejména pro oblast kolem očí, čela nebo „mračivku“ mezi obočím. S přibývajícím věkem a úbytkem kolagenu ztrácí pokožka pevnost a pružnost, což může vést k povadlým konturám obličeje a vzniku vrásek. Řešením je niťový lifting nebo mezonitě,“ </w:t>
      </w:r>
      <w:r>
        <w:rPr>
          <w:rFonts w:ascii="Tahoma" w:eastAsia="Tahoma" w:hAnsi="Tahoma" w:cs="Tahoma"/>
          <w:sz w:val="21"/>
          <w:szCs w:val="21"/>
        </w:rPr>
        <w:t xml:space="preserve">zmínila Anna Varsami. </w:t>
      </w:r>
      <w:bookmarkStart w:id="1" w:name="_Hlk188622509"/>
      <w:r>
        <w:rPr>
          <w:rFonts w:ascii="Tahoma" w:eastAsia="Tahoma" w:hAnsi="Tahoma" w:cs="Tahoma"/>
          <w:sz w:val="21"/>
          <w:szCs w:val="21"/>
        </w:rPr>
        <w:t xml:space="preserve">Tím ale nabídka estetických zákroků zdaleka nekončí. </w:t>
      </w:r>
      <w:bookmarkEnd w:id="1"/>
      <w:r>
        <w:rPr>
          <w:rFonts w:ascii="Tahoma" w:eastAsia="Tahoma" w:hAnsi="Tahoma" w:cs="Tahoma"/>
          <w:color w:val="CC9900"/>
          <w:sz w:val="21"/>
          <w:szCs w:val="21"/>
        </w:rPr>
        <w:t xml:space="preserve">„Nabízíme také řadu dalších procedur, jako je biostimulace pleti, injekční lipolýza zaměřená na odstranění podbradku, nebo ošetření IPL, které si poradí s pigmentovými skvrnami a rozšířenými cévkami. K hydrataci a regeneraci pleti využíváme mezoterapii či plazmaterapii. Samozřejmostí je i odstranění znamének odborným a bezpečným způsobem,“ </w:t>
      </w:r>
      <w:r>
        <w:rPr>
          <w:rFonts w:ascii="Tahoma" w:eastAsia="Tahoma" w:hAnsi="Tahoma" w:cs="Tahoma"/>
          <w:sz w:val="21"/>
          <w:szCs w:val="21"/>
        </w:rPr>
        <w:t xml:space="preserve">uzavřela Anna Varsami. </w:t>
      </w:r>
    </w:p>
    <w:p w14:paraId="3A4EF347" w14:textId="77777777" w:rsidR="00AD5551" w:rsidRDefault="00AD5551" w:rsidP="00AD5551">
      <w:pPr>
        <w:spacing w:before="240" w:after="240"/>
        <w:jc w:val="both"/>
        <w:rPr>
          <w:rFonts w:ascii="Tahoma" w:eastAsia="Tahoma" w:hAnsi="Tahoma" w:cs="Tahoma"/>
          <w:color w:val="CC9900"/>
          <w:sz w:val="21"/>
          <w:szCs w:val="21"/>
        </w:rPr>
      </w:pPr>
      <w:bookmarkStart w:id="2" w:name="_heading=h.gzeajalobnbb" w:colFirst="0" w:colLast="0"/>
      <w:bookmarkEnd w:id="2"/>
      <w:r>
        <w:rPr>
          <w:rFonts w:ascii="Tahoma" w:eastAsia="Tahoma" w:hAnsi="Tahoma" w:cs="Tahoma"/>
          <w:b/>
          <w:sz w:val="21"/>
          <w:szCs w:val="21"/>
        </w:rPr>
        <w:t>KONTAKT PRO MÉDIA:</w:t>
      </w:r>
    </w:p>
    <w:p w14:paraId="01D7B760" w14:textId="77777777" w:rsidR="00AD5551" w:rsidRDefault="00AD5551" w:rsidP="00AD5551">
      <w:pPr>
        <w:jc w:val="both"/>
        <w:rPr>
          <w:rFonts w:ascii="Tahoma" w:eastAsia="Tahoma" w:hAnsi="Tahoma" w:cs="Tahoma"/>
          <w:b/>
          <w:color w:val="CC9900"/>
          <w:sz w:val="21"/>
          <w:szCs w:val="21"/>
        </w:rPr>
      </w:pPr>
      <w:r>
        <w:rPr>
          <w:rFonts w:ascii="Tahoma" w:eastAsia="Tahoma" w:hAnsi="Tahoma" w:cs="Tahoma"/>
          <w:b/>
          <w:color w:val="333333"/>
          <w:sz w:val="21"/>
          <w:szCs w:val="21"/>
        </w:rPr>
        <w:t>Mgr. Petra Ďurčíková</w:t>
      </w:r>
      <w:r>
        <w:rPr>
          <w:rFonts w:ascii="Tahoma" w:eastAsia="Tahoma" w:hAnsi="Tahoma" w:cs="Tahoma"/>
          <w:b/>
          <w:color w:val="CC9900"/>
          <w:sz w:val="21"/>
          <w:szCs w:val="21"/>
        </w:rPr>
        <w:t>_mediální konzultant</w:t>
      </w:r>
    </w:p>
    <w:p w14:paraId="4BA2836A" w14:textId="77777777" w:rsidR="00AD5551" w:rsidRDefault="00AD5551" w:rsidP="00AD5551">
      <w:pPr>
        <w:jc w:val="both"/>
        <w:rPr>
          <w:rFonts w:ascii="Tahoma" w:eastAsia="Tahoma" w:hAnsi="Tahoma" w:cs="Tahoma"/>
          <w:b/>
          <w:sz w:val="21"/>
          <w:szCs w:val="21"/>
        </w:rPr>
      </w:pPr>
      <w:r>
        <w:rPr>
          <w:noProof/>
        </w:rPr>
        <w:drawing>
          <wp:inline distT="0" distB="0" distL="0" distR="0" wp14:anchorId="665D03A9" wp14:editId="1962583E">
            <wp:extent cx="833755" cy="132715"/>
            <wp:effectExtent l="0" t="0" r="0" b="0"/>
            <wp:docPr id="2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7"/>
                    <a:srcRect/>
                    <a:stretch>
                      <a:fillRect/>
                    </a:stretch>
                  </pic:blipFill>
                  <pic:spPr>
                    <a:xfrm>
                      <a:off x="0" y="0"/>
                      <a:ext cx="833755" cy="132715"/>
                    </a:xfrm>
                    <a:prstGeom prst="rect">
                      <a:avLst/>
                    </a:prstGeom>
                    <a:ln/>
                  </pic:spPr>
                </pic:pic>
              </a:graphicData>
            </a:graphic>
          </wp:inline>
        </w:drawing>
      </w:r>
    </w:p>
    <w:p w14:paraId="3498536D" w14:textId="77777777" w:rsidR="00AD5551" w:rsidRDefault="00AD5551" w:rsidP="00AD5551">
      <w:pPr>
        <w:pBdr>
          <w:bottom w:val="single" w:sz="4" w:space="1" w:color="000000"/>
        </w:pBdr>
        <w:jc w:val="both"/>
      </w:pPr>
      <w:r>
        <w:rPr>
          <w:rFonts w:ascii="Tahoma" w:eastAsia="Tahoma" w:hAnsi="Tahoma" w:cs="Tahoma"/>
          <w:b/>
          <w:sz w:val="21"/>
          <w:szCs w:val="21"/>
        </w:rPr>
        <w:t xml:space="preserve">+420 733 643 825, </w:t>
      </w:r>
      <w:hyperlink r:id="rId8">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9">
        <w:r>
          <w:rPr>
            <w:rFonts w:ascii="Tahoma" w:eastAsia="Tahoma" w:hAnsi="Tahoma" w:cs="Tahoma"/>
            <w:b/>
            <w:color w:val="0000FF"/>
            <w:sz w:val="21"/>
            <w:szCs w:val="21"/>
            <w:u w:val="single"/>
          </w:rPr>
          <w:t>pearmedia.cz</w:t>
        </w:r>
      </w:hyperlink>
    </w:p>
    <w:p w14:paraId="52C545E0" w14:textId="77777777" w:rsidR="00AD5551" w:rsidRDefault="00AD5551" w:rsidP="00AD5551">
      <w:pPr>
        <w:jc w:val="both"/>
      </w:pPr>
      <w:r>
        <w:rPr>
          <w:rFonts w:ascii="Tahoma" w:eastAsia="Tahoma" w:hAnsi="Tahoma" w:cs="Tahoma"/>
          <w:b/>
          <w:sz w:val="18"/>
          <w:szCs w:val="18"/>
        </w:rPr>
        <w:t xml:space="preserve">SOUKROMÁ OČNÍ KLINIKA GEMINI, </w:t>
      </w:r>
      <w:hyperlink r:id="rId10">
        <w:r>
          <w:rPr>
            <w:rFonts w:ascii="Tahoma" w:eastAsia="Tahoma" w:hAnsi="Tahoma" w:cs="Tahoma"/>
            <w:b/>
            <w:color w:val="0000FF"/>
            <w:sz w:val="18"/>
            <w:szCs w:val="18"/>
            <w:u w:val="single"/>
          </w:rPr>
          <w:t>www.gemini.cz</w:t>
        </w:r>
      </w:hyperlink>
    </w:p>
    <w:p w14:paraId="751694F0" w14:textId="77777777" w:rsidR="00AD5551" w:rsidRDefault="00AD5551" w:rsidP="00AD5551">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7E5CB0F9" w14:textId="77777777" w:rsidR="00AD5551" w:rsidRDefault="00AD5551" w:rsidP="00AD5551">
      <w:pPr>
        <w:jc w:val="both"/>
      </w:pPr>
      <w:r>
        <w:rPr>
          <w:rFonts w:ascii="Tahoma" w:eastAsia="Tahoma" w:hAnsi="Tahoma" w:cs="Tahoma"/>
          <w:b/>
          <w:sz w:val="18"/>
          <w:szCs w:val="18"/>
        </w:rPr>
        <w:t xml:space="preserve">prim. MUDr. PAVEL STODŮLKA, Ph.D., FEBOS-CR, </w:t>
      </w:r>
      <w:hyperlink r:id="rId11">
        <w:r>
          <w:rPr>
            <w:rFonts w:ascii="Tahoma" w:eastAsia="Tahoma" w:hAnsi="Tahoma" w:cs="Tahoma"/>
            <w:b/>
            <w:color w:val="0000FF"/>
            <w:sz w:val="18"/>
            <w:szCs w:val="18"/>
            <w:u w:val="single"/>
          </w:rPr>
          <w:t>www.lasik.cz</w:t>
        </w:r>
      </w:hyperlink>
    </w:p>
    <w:p w14:paraId="5782E3C5" w14:textId="68272642" w:rsidR="00E373B8" w:rsidRPr="00AD5551" w:rsidRDefault="00AD5551" w:rsidP="00AD5551">
      <w:pPr>
        <w:jc w:val="both"/>
        <w:rPr>
          <w:rFonts w:ascii="Tahoma" w:eastAsia="Tahoma" w:hAnsi="Tahoma" w:cs="Tahoma"/>
          <w:sz w:val="18"/>
          <w:szCs w:val="18"/>
        </w:rPr>
      </w:pPr>
      <w:bookmarkStart w:id="3" w:name="_heading=h.30j0zll" w:colFirst="0" w:colLast="0"/>
      <w:bookmarkEnd w:id="3"/>
      <w:r>
        <w:rPr>
          <w:rFonts w:ascii="Tahoma" w:eastAsia="Tahoma" w:hAnsi="Tahoma" w:cs="Tahoma"/>
          <w:sz w:val="18"/>
          <w:szCs w:val="18"/>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 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V roce 2017 jako první lékař v České republice složil zkoušku FEBOS-CR. V letech 2022 až 2024 byl evropským prezidentem odborné společnosti AECOS - Americko-evropský kongres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V roce 2024 provedl první oficiální operaci vysoké dalekozrakosti hyperopickým ReLEx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ESCRS - European Society of Cataract and Refractive Surgeons. Od roku 2025 zastává funkci Tresurer, která patří mezi klíčové pozice v nejvyšším vedení této společnosti.</w:t>
      </w:r>
    </w:p>
    <w:sectPr w:rsidR="00E373B8" w:rsidRPr="00AD5551">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E1B1" w14:textId="77777777" w:rsidR="00A772F9" w:rsidRDefault="00A772F9">
      <w:pPr>
        <w:spacing w:after="0" w:line="240" w:lineRule="auto"/>
      </w:pPr>
      <w:r>
        <w:separator/>
      </w:r>
    </w:p>
  </w:endnote>
  <w:endnote w:type="continuationSeparator" w:id="0">
    <w:p w14:paraId="6508818F" w14:textId="77777777" w:rsidR="00A772F9" w:rsidRDefault="00A7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304C" w14:textId="77777777" w:rsidR="00355981" w:rsidRDefault="00355981">
    <w:pPr>
      <w:pBdr>
        <w:top w:val="nil"/>
        <w:left w:val="nil"/>
        <w:bottom w:val="nil"/>
        <w:right w:val="nil"/>
        <w:between w:val="nil"/>
      </w:pBdr>
      <w:tabs>
        <w:tab w:val="center" w:pos="4536"/>
        <w:tab w:val="right" w:pos="9072"/>
      </w:tabs>
      <w:spacing w:after="0" w:line="240" w:lineRule="auto"/>
      <w:rPr>
        <w:color w:val="000000"/>
      </w:rPr>
    </w:pPr>
  </w:p>
  <w:p w14:paraId="3E64A5E2" w14:textId="77777777" w:rsidR="00355981" w:rsidRDefault="0035598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61C3C" w14:textId="77777777" w:rsidR="00A772F9" w:rsidRDefault="00A772F9">
      <w:pPr>
        <w:spacing w:after="0" w:line="240" w:lineRule="auto"/>
      </w:pPr>
      <w:bookmarkStart w:id="0" w:name="_Hlk187911427"/>
      <w:bookmarkEnd w:id="0"/>
      <w:r>
        <w:separator/>
      </w:r>
    </w:p>
  </w:footnote>
  <w:footnote w:type="continuationSeparator" w:id="0">
    <w:p w14:paraId="5686ACE8" w14:textId="77777777" w:rsidR="00A772F9" w:rsidRDefault="00A77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08DC4" w14:textId="0A21E08B" w:rsidR="00355981" w:rsidRDefault="00987626" w:rsidP="0098762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3509BAD" wp14:editId="06711ADC">
          <wp:extent cx="3105193" cy="600083"/>
          <wp:effectExtent l="0" t="0" r="0" b="0"/>
          <wp:docPr id="20"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r>
    <w:r w:rsidR="00785D2A">
      <w:rPr>
        <w:b/>
        <w:color w:val="000000"/>
        <w:sz w:val="36"/>
        <w:szCs w:val="36"/>
      </w:rPr>
      <w:t>TISKOVÁ ZPRÁVA</w:t>
    </w:r>
  </w:p>
  <w:p w14:paraId="7D2C30AD" w14:textId="77777777" w:rsidR="00987626" w:rsidRDefault="0098762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69FD208"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C498366"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B42E20E"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AC7E9E4"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BE3AB14" w14:textId="77777777" w:rsidR="00AD5551" w:rsidRDefault="00AD555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264B0EF"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BE4AA40"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64229B"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90677A" w14:textId="77777777" w:rsidR="00355981" w:rsidRDefault="00355981">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8DEA4FD" w14:textId="77777777" w:rsidR="00355981" w:rsidRDefault="00355981">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2A"/>
    <w:rsid w:val="000176BC"/>
    <w:rsid w:val="000B1DA2"/>
    <w:rsid w:val="000F5306"/>
    <w:rsid w:val="002147FC"/>
    <w:rsid w:val="0024278B"/>
    <w:rsid w:val="00355981"/>
    <w:rsid w:val="00545A13"/>
    <w:rsid w:val="00607100"/>
    <w:rsid w:val="007560C2"/>
    <w:rsid w:val="00785D2A"/>
    <w:rsid w:val="008F2098"/>
    <w:rsid w:val="00987626"/>
    <w:rsid w:val="009F2B6F"/>
    <w:rsid w:val="00A772F9"/>
    <w:rsid w:val="00AA515F"/>
    <w:rsid w:val="00AD5551"/>
    <w:rsid w:val="00AF5D92"/>
    <w:rsid w:val="00C5155D"/>
    <w:rsid w:val="00E14AA1"/>
    <w:rsid w:val="00E373B8"/>
    <w:rsid w:val="00E505AD"/>
    <w:rsid w:val="00EB34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98E0"/>
  <w15:docId w15:val="{721D4F29-4478-48C0-BCF8-16BE09C5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5D2A"/>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85D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5D2A"/>
    <w:rPr>
      <w:rFonts w:ascii="Tahoma" w:eastAsiaTheme="minorEastAsia" w:hAnsi="Tahoma" w:cs="Tahoma"/>
      <w:sz w:val="16"/>
      <w:szCs w:val="16"/>
      <w:lang w:eastAsia="cs-CZ"/>
    </w:rPr>
  </w:style>
  <w:style w:type="paragraph" w:styleId="Zhlav">
    <w:name w:val="header"/>
    <w:basedOn w:val="Normln"/>
    <w:link w:val="ZhlavChar"/>
    <w:uiPriority w:val="99"/>
    <w:unhideWhenUsed/>
    <w:rsid w:val="009876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7626"/>
    <w:rPr>
      <w:rFonts w:ascii="Calibri" w:eastAsiaTheme="minorEastAsia" w:hAnsi="Calibri" w:cs="Calibri"/>
      <w:lang w:eastAsia="cs-CZ"/>
    </w:rPr>
  </w:style>
  <w:style w:type="paragraph" w:styleId="Zpat">
    <w:name w:val="footer"/>
    <w:basedOn w:val="Normln"/>
    <w:link w:val="ZpatChar"/>
    <w:uiPriority w:val="99"/>
    <w:unhideWhenUsed/>
    <w:rsid w:val="00987626"/>
    <w:pPr>
      <w:tabs>
        <w:tab w:val="center" w:pos="4536"/>
        <w:tab w:val="right" w:pos="9072"/>
      </w:tabs>
      <w:spacing w:after="0" w:line="240" w:lineRule="auto"/>
    </w:pPr>
  </w:style>
  <w:style w:type="character" w:customStyle="1" w:styleId="ZpatChar">
    <w:name w:val="Zápatí Char"/>
    <w:basedOn w:val="Standardnpsmoodstavce"/>
    <w:link w:val="Zpat"/>
    <w:uiPriority w:val="99"/>
    <w:rsid w:val="00987626"/>
    <w:rPr>
      <w:rFonts w:ascii="Calibri" w:eastAsiaTheme="minorEastAsia" w:hAnsi="Calibri" w:cs="Calibri"/>
      <w:lang w:eastAsia="cs-CZ"/>
    </w:rPr>
  </w:style>
  <w:style w:type="paragraph" w:styleId="Revize">
    <w:name w:val="Revision"/>
    <w:hidden/>
    <w:uiPriority w:val="99"/>
    <w:semiHidden/>
    <w:rsid w:val="00607100"/>
    <w:pPr>
      <w:spacing w:after="0" w:line="240" w:lineRule="auto"/>
    </w:pPr>
    <w:rPr>
      <w:rFonts w:ascii="Calibri" w:eastAsiaTheme="minorEastAsia"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6367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2025-01-27T07:44:00Z</dcterms:created>
  <dcterms:modified xsi:type="dcterms:W3CDTF">2025-01-27T07:44:00Z</dcterms:modified>
</cp:coreProperties>
</file>