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A4BE7" w14:textId="77777777" w:rsidR="001928E8" w:rsidRDefault="001928E8" w:rsidP="001928E8">
      <w:pPr>
        <w:jc w:val="center"/>
        <w:rPr>
          <w:rFonts w:ascii="Tahoma" w:eastAsia="Tahoma" w:hAnsi="Tahoma" w:cs="Tahoma"/>
          <w:b/>
          <w:bCs/>
          <w:sz w:val="38"/>
          <w:szCs w:val="38"/>
        </w:rPr>
      </w:pPr>
      <w:bookmarkStart w:id="0" w:name="_Hlk224543065"/>
      <w:r>
        <w:rPr>
          <w:rFonts w:ascii="Tahoma" w:eastAsia="Tahoma" w:hAnsi="Tahoma" w:cs="Tahoma"/>
          <w:b/>
          <w:bCs/>
          <w:sz w:val="38"/>
          <w:szCs w:val="38"/>
        </w:rPr>
        <w:t>Od tradice k technologiím: výuka řemesla zahrnuje virtuální realitu i umělou inteligenci</w:t>
      </w:r>
    </w:p>
    <w:p w14:paraId="311EDB40" w14:textId="77777777" w:rsidR="001928E8" w:rsidRDefault="001928E8" w:rsidP="001928E8">
      <w:pPr>
        <w:jc w:val="both"/>
        <w:rPr>
          <w:rFonts w:ascii="Tahoma" w:eastAsia="Tahoma" w:hAnsi="Tahoma" w:cs="Tahoma"/>
          <w:b/>
          <w:bCs/>
          <w:sz w:val="21"/>
          <w:szCs w:val="21"/>
        </w:rPr>
      </w:pPr>
      <w:r>
        <w:rPr>
          <w:rFonts w:ascii="Tahoma" w:eastAsia="Tahoma" w:hAnsi="Tahoma" w:cs="Tahoma"/>
          <w:b/>
          <w:bCs/>
          <w:sz w:val="21"/>
          <w:szCs w:val="21"/>
        </w:rPr>
        <w:t>PRAHA, 17. BŘEZNA 2026 – Pověstné zlaté české ručičky už dnešním řemeslníkům k získání lukrativních zakázek nestačí. Řemeslníci dneška musejí ovládat moderní technologie a znát nové materiály i postupy. Jak reagují školy na proměny řemesla a co musejí řemeslníci ovládat, aby byly na trhu konkurenceschopní?</w:t>
      </w:r>
    </w:p>
    <w:p w14:paraId="07CDE32C" w14:textId="77777777" w:rsidR="001928E8" w:rsidRDefault="001928E8" w:rsidP="001928E8">
      <w:pPr>
        <w:jc w:val="both"/>
        <w:rPr>
          <w:rFonts w:ascii="Tahoma" w:eastAsia="Tahoma" w:hAnsi="Tahoma" w:cs="Tahoma"/>
          <w:sz w:val="21"/>
          <w:szCs w:val="21"/>
        </w:rPr>
      </w:pPr>
      <w:r>
        <w:rPr>
          <w:rFonts w:ascii="Tahoma" w:eastAsia="Tahoma" w:hAnsi="Tahoma" w:cs="Tahoma"/>
          <w:sz w:val="21"/>
          <w:szCs w:val="21"/>
        </w:rPr>
        <w:t xml:space="preserve">Stavební řemesla prošla v posledních dvou dekádách zásadní proměnou. Moderní řemeslníci musejí ovládat digitální dokumentaci, nové materiály i systémy. </w:t>
      </w:r>
      <w:r>
        <w:rPr>
          <w:rFonts w:ascii="Tahoma" w:eastAsia="Tahoma" w:hAnsi="Tahoma" w:cs="Tahoma"/>
          <w:color w:val="CC9900"/>
          <w:sz w:val="21"/>
          <w:szCs w:val="21"/>
        </w:rPr>
        <w:t xml:space="preserve">„Stavební řemesla se za posledních dvacet let výrazně proměnila především v používaných technologiích a materiálech. Základní principy řemesla zůstávají stejné, ale práce je dnes přesnější, rychlejší a technicky náročnější. Řemeslníci pracují s moderními stavebními systémy, novými materiály a digitální dokumentací. Dnešní stavební řemeslník musí rozumět celému stavebnímu procesu, pracovat podle přesné technické dokumentace a dodržovat přísné technologické i bezpečnostní postupy. Klade se větší důraz na kvalitu, přesnost, ekologii a dlouhou životnost staveb,“ </w:t>
      </w:r>
      <w:r>
        <w:rPr>
          <w:rFonts w:ascii="Tahoma" w:eastAsia="Tahoma" w:hAnsi="Tahoma" w:cs="Tahoma"/>
          <w:sz w:val="21"/>
          <w:szCs w:val="21"/>
        </w:rPr>
        <w:t xml:space="preserve">popsal Miloslav Janeček, ředitel Střední odborné školy Jarov (SOŠJ). </w:t>
      </w:r>
    </w:p>
    <w:p w14:paraId="0090B5F4" w14:textId="77777777" w:rsidR="001928E8" w:rsidRDefault="001928E8" w:rsidP="001928E8">
      <w:pPr>
        <w:jc w:val="both"/>
        <w:rPr>
          <w:rFonts w:ascii="Tahoma" w:eastAsia="Tahoma" w:hAnsi="Tahoma" w:cs="Tahoma"/>
          <w:sz w:val="21"/>
          <w:szCs w:val="21"/>
        </w:rPr>
      </w:pPr>
      <w:r>
        <w:rPr>
          <w:rFonts w:ascii="Tahoma" w:eastAsia="Tahoma" w:hAnsi="Tahoma" w:cs="Tahoma"/>
          <w:sz w:val="21"/>
          <w:szCs w:val="21"/>
        </w:rPr>
        <w:t>Předchozí generace řemeslníků si zpravidla po celý svůj profesní život vystačili s tím, co se naučili ve škole. To už dnes neplatí, neustálé vzdělávání je nezbytné.</w:t>
      </w:r>
      <w:r>
        <w:rPr>
          <w:rFonts w:ascii="Tahoma" w:eastAsia="Tahoma" w:hAnsi="Tahoma" w:cs="Tahoma"/>
          <w:color w:val="222222"/>
          <w:sz w:val="21"/>
          <w:szCs w:val="21"/>
        </w:rPr>
        <w:t xml:space="preserve"> </w:t>
      </w:r>
      <w:r>
        <w:rPr>
          <w:rFonts w:ascii="Tahoma" w:eastAsia="Tahoma" w:hAnsi="Tahoma" w:cs="Tahoma"/>
          <w:color w:val="CC9900"/>
          <w:sz w:val="21"/>
          <w:szCs w:val="21"/>
        </w:rPr>
        <w:t xml:space="preserve">„Kromě manuální zručnosti musí mít řemeslník schopnost číst digitální výkresy, orientovat se v moderních stavebních materiálech a technologiích, dodržovat technologické postupy a komunikovat s dalšími profesemi na stavbě. Stále důležitější je také schopnost průběžně se vzdělávat, protože nové materiály a technologie přicházejí do praxe velmi rychle,“ </w:t>
      </w:r>
      <w:r>
        <w:rPr>
          <w:rFonts w:ascii="Tahoma" w:eastAsia="Tahoma" w:hAnsi="Tahoma" w:cs="Tahoma"/>
          <w:sz w:val="21"/>
          <w:szCs w:val="21"/>
        </w:rPr>
        <w:t>upozornil Pavel Žatečka, ředitel Cechu malířů, lakýrníků a tapetářů České republiky.</w:t>
      </w:r>
    </w:p>
    <w:p w14:paraId="4AA0F023" w14:textId="77777777" w:rsidR="001928E8" w:rsidRDefault="001928E8" w:rsidP="001928E8">
      <w:pPr>
        <w:jc w:val="both"/>
        <w:rPr>
          <w:rFonts w:ascii="Tahoma" w:eastAsia="Tahoma" w:hAnsi="Tahoma" w:cs="Tahoma"/>
          <w:sz w:val="21"/>
          <w:szCs w:val="21"/>
        </w:rPr>
      </w:pPr>
      <w:r>
        <w:rPr>
          <w:rFonts w:ascii="Tahoma" w:eastAsia="Tahoma" w:hAnsi="Tahoma" w:cs="Tahoma"/>
          <w:sz w:val="21"/>
          <w:szCs w:val="21"/>
        </w:rPr>
        <w:t xml:space="preserve">Na proměny řemeslných oborů reagují i odborné školy, ty zařazují nové materiály, technologie a pracovní postupy do výuky už od prvních ročníků. </w:t>
      </w:r>
      <w:r>
        <w:rPr>
          <w:rFonts w:ascii="Tahoma" w:eastAsia="Tahoma" w:hAnsi="Tahoma" w:cs="Tahoma"/>
          <w:color w:val="CC9900"/>
          <w:sz w:val="21"/>
          <w:szCs w:val="21"/>
        </w:rPr>
        <w:t xml:space="preserve">„Školy modernizují vybavení dílen, aktualizují učební plány a úzce spolupracují se stavebními firmami. Ve výuce se využívají moderní stavební systémy, nové druhy izolací, suché stavební procesy, digitální měřicí technika, laserové nivelační přístroje a práce s elektronickou projektovou dokumentací,“ </w:t>
      </w:r>
      <w:r>
        <w:rPr>
          <w:rFonts w:ascii="Tahoma" w:eastAsia="Tahoma" w:hAnsi="Tahoma" w:cs="Tahoma"/>
          <w:sz w:val="21"/>
          <w:szCs w:val="21"/>
        </w:rPr>
        <w:t>vyjmenoval ředitel školy Janeček.</w:t>
      </w:r>
    </w:p>
    <w:p w14:paraId="1B2945C9" w14:textId="77777777" w:rsidR="001928E8" w:rsidRDefault="001928E8" w:rsidP="001928E8">
      <w:pPr>
        <w:jc w:val="both"/>
        <w:rPr>
          <w:rFonts w:ascii="Tahoma" w:eastAsia="Tahoma" w:hAnsi="Tahoma" w:cs="Tahoma"/>
          <w:sz w:val="21"/>
          <w:szCs w:val="21"/>
        </w:rPr>
      </w:pPr>
      <w:bookmarkStart w:id="1" w:name="_qxqxyz1k10b3" w:colFirst="0" w:colLast="0"/>
      <w:bookmarkEnd w:id="1"/>
      <w:r>
        <w:rPr>
          <w:rFonts w:ascii="Tahoma" w:eastAsia="Tahoma" w:hAnsi="Tahoma" w:cs="Tahoma"/>
          <w:sz w:val="21"/>
          <w:szCs w:val="21"/>
        </w:rPr>
        <w:t xml:space="preserve">Na zavádění moderních postupů do výuky nejsou školy samy. </w:t>
      </w:r>
      <w:r>
        <w:rPr>
          <w:rFonts w:ascii="Tahoma" w:eastAsia="Tahoma" w:hAnsi="Tahoma" w:cs="Tahoma"/>
          <w:color w:val="CC9900"/>
          <w:sz w:val="21"/>
          <w:szCs w:val="21"/>
        </w:rPr>
        <w:t>„Velkou roli při zavádění moderních technologií do výuky hraje spolupráce s profesními organizacemi, firmami a řemeslnými cechy, které školám pomáhají přenášet aktuální zkušenosti z praxe přímo do výuky. Cílem je, aby absolventi byli kvalitní stavební řemeslníci připravení na současné i budoucí požadavky stavebnictví. Bez spolupráce s </w:t>
      </w:r>
      <w:proofErr w:type="gramStart"/>
      <w:r>
        <w:rPr>
          <w:rFonts w:ascii="Tahoma" w:eastAsia="Tahoma" w:hAnsi="Tahoma" w:cs="Tahoma"/>
          <w:color w:val="CC9900"/>
          <w:sz w:val="21"/>
          <w:szCs w:val="21"/>
        </w:rPr>
        <w:t>odborníky ,zvenku</w:t>
      </w:r>
      <w:proofErr w:type="gramEnd"/>
      <w:r>
        <w:rPr>
          <w:rFonts w:ascii="Tahoma" w:eastAsia="Tahoma" w:hAnsi="Tahoma" w:cs="Tahoma"/>
          <w:color w:val="CC9900"/>
          <w:sz w:val="21"/>
          <w:szCs w:val="21"/>
        </w:rPr>
        <w:t xml:space="preserve">‘ by školy zvládly na proměny řemesla reagovat jen velmi obtížně,“ </w:t>
      </w:r>
      <w:r>
        <w:rPr>
          <w:rFonts w:ascii="Tahoma" w:eastAsia="Tahoma" w:hAnsi="Tahoma" w:cs="Tahoma"/>
          <w:sz w:val="21"/>
          <w:szCs w:val="21"/>
        </w:rPr>
        <w:t>uvedl Miloslav Janeček.</w:t>
      </w:r>
    </w:p>
    <w:p w14:paraId="1966F182" w14:textId="77777777" w:rsidR="001928E8" w:rsidRDefault="001928E8" w:rsidP="001928E8">
      <w:pPr>
        <w:jc w:val="both"/>
        <w:rPr>
          <w:rFonts w:ascii="Tahoma" w:eastAsia="Tahoma" w:hAnsi="Tahoma" w:cs="Tahoma"/>
          <w:sz w:val="21"/>
          <w:szCs w:val="21"/>
        </w:rPr>
      </w:pPr>
      <w:r>
        <w:rPr>
          <w:rFonts w:ascii="Tahoma" w:eastAsia="Tahoma" w:hAnsi="Tahoma" w:cs="Tahoma"/>
          <w:sz w:val="21"/>
          <w:szCs w:val="21"/>
        </w:rPr>
        <w:lastRenderedPageBreak/>
        <w:t xml:space="preserve">Budoucí řemeslníci se na praxi připravují i díky virtuální realitě a na trenažérech, které přesně simulují jejich budoucí profesi, upozorňují na chyby a v reálném čase hodnotí jejich výsledky. </w:t>
      </w:r>
      <w:r>
        <w:rPr>
          <w:rFonts w:ascii="Tahoma" w:eastAsia="Tahoma" w:hAnsi="Tahoma" w:cs="Tahoma"/>
          <w:color w:val="CC9900"/>
          <w:sz w:val="21"/>
          <w:szCs w:val="21"/>
        </w:rPr>
        <w:t xml:space="preserve">„V naší škole jsme začátkem letošního března zařadili do výuky dva trenažéry využívající rozšířenou realitu. Na nich si žáci mohou bezpečně osvojit základní principy svařování bez spotřeby materiálu či ochranných plynů. Výuku doplňuje trenažer s virtuální realitou, který umožňuje detailní vyhodnocení pohybu ruky, rychlosti svařování i úhlu hořáku. Žáci tak okamžitě vidí své chyby a mohou je snadno korigovat. Kombinace virtuálního tréninku a profesionální techniky pomáhá žákům rychleji si osvojit správné návyky, zvyšuje bezpečnost výuky a lépe žáky připravuje na požadavky dnešní výrobní praxe,“ </w:t>
      </w:r>
      <w:r>
        <w:rPr>
          <w:rFonts w:ascii="Tahoma" w:eastAsia="Tahoma" w:hAnsi="Tahoma" w:cs="Tahoma"/>
          <w:sz w:val="21"/>
          <w:szCs w:val="21"/>
        </w:rPr>
        <w:t>hodnotí Miloslav Janeček.</w:t>
      </w:r>
    </w:p>
    <w:p w14:paraId="1D4BD8A1" w14:textId="77777777" w:rsidR="001928E8" w:rsidRDefault="001928E8" w:rsidP="001928E8">
      <w:pPr>
        <w:pBdr>
          <w:bottom w:val="single" w:sz="4" w:space="1" w:color="000000"/>
        </w:pBdr>
        <w:jc w:val="both"/>
        <w:rPr>
          <w:rFonts w:ascii="Tahoma" w:eastAsia="Tahoma" w:hAnsi="Tahoma" w:cs="Tahoma"/>
          <w:sz w:val="21"/>
          <w:szCs w:val="21"/>
        </w:rPr>
      </w:pPr>
      <w:r>
        <w:rPr>
          <w:rFonts w:ascii="Tahoma" w:eastAsia="Tahoma" w:hAnsi="Tahoma" w:cs="Tahoma"/>
          <w:sz w:val="21"/>
          <w:szCs w:val="21"/>
        </w:rPr>
        <w:t xml:space="preserve">Do řemeslných oborů vstupuje i umělá inteligence (AI), řemeslníci ale o svou práci strach mít nemusí. Mezi odborníky panuje přesvědčení, že kvalitní řemeslo ani v budoucnu umělá inteligence nenahradí. </w:t>
      </w:r>
      <w:r>
        <w:rPr>
          <w:rFonts w:ascii="Tahoma" w:eastAsia="Tahoma" w:hAnsi="Tahoma" w:cs="Tahoma"/>
          <w:color w:val="CC9900"/>
          <w:sz w:val="21"/>
          <w:szCs w:val="21"/>
        </w:rPr>
        <w:t xml:space="preserve">„Umělá inteligence může pomáhat při plánování stavebních prací, optimalizaci postupů, kontrole kvality nebo při práci s projektovou dokumentací. Vlastní řemeslná práce ale zůstane závislá na lidské zručnosti a zkušenostech. Některé tradiční postupy ustupují moderním technologiím, avšak základní řemeslné dovednosti zůstávají nenahraditelné. AI může nahradit část administrativy, výpočtů nebo plánování, ale samotnou práci na stavbě zatím nenahradí a je otázka, jestli někdy ano,“ </w:t>
      </w:r>
      <w:r>
        <w:rPr>
          <w:rFonts w:ascii="Tahoma" w:eastAsia="Tahoma" w:hAnsi="Tahoma" w:cs="Tahoma"/>
          <w:sz w:val="21"/>
          <w:szCs w:val="21"/>
        </w:rPr>
        <w:t>uzavřel Pavel Žatečka.</w:t>
      </w:r>
    </w:p>
    <w:p w14:paraId="01C24826" w14:textId="77777777" w:rsidR="001928E8" w:rsidRDefault="001928E8" w:rsidP="001928E8">
      <w:pPr>
        <w:jc w:val="both"/>
        <w:rPr>
          <w:rFonts w:ascii="Tahoma" w:eastAsia="Tahoma" w:hAnsi="Tahoma" w:cs="Tahoma"/>
          <w:b/>
          <w:bCs/>
          <w:sz w:val="20"/>
          <w:szCs w:val="20"/>
        </w:rPr>
      </w:pPr>
      <w:r>
        <w:rPr>
          <w:rFonts w:ascii="Tahoma" w:eastAsia="Tahoma" w:hAnsi="Tahoma" w:cs="Tahoma"/>
          <w:b/>
          <w:bCs/>
          <w:sz w:val="18"/>
          <w:szCs w:val="18"/>
        </w:rPr>
        <w:t>KONTAKT PRO MÉDIA:</w:t>
      </w:r>
    </w:p>
    <w:p w14:paraId="15567B00" w14:textId="77777777" w:rsidR="001928E8" w:rsidRDefault="001928E8" w:rsidP="001928E8">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31B97463" w14:textId="77777777" w:rsidR="001928E8" w:rsidRDefault="001928E8" w:rsidP="001928E8">
      <w:pPr>
        <w:spacing w:line="240" w:lineRule="auto"/>
        <w:rPr>
          <w:rFonts w:ascii="Tahoma" w:eastAsia="Tahoma" w:hAnsi="Tahoma" w:cs="Tahoma"/>
          <w:b/>
          <w:bCs/>
          <w:sz w:val="20"/>
          <w:szCs w:val="20"/>
        </w:rPr>
      </w:pPr>
      <w:r>
        <w:rPr>
          <w:noProof/>
        </w:rPr>
        <w:drawing>
          <wp:inline distT="0" distB="0" distL="0" distR="0" wp14:anchorId="7D9474DE" wp14:editId="4354675A">
            <wp:extent cx="828675" cy="132080"/>
            <wp:effectExtent l="0" t="0" r="0" b="0"/>
            <wp:docPr id="3" name="image3.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3.png" descr="pear_media logo_fin rgb_bez okraju.jpg"/>
                    <pic:cNvPicPr preferRelativeResize="0"/>
                  </pic:nvPicPr>
                  <pic:blipFill>
                    <a:blip r:embed="rId4"/>
                    <a:srcRect/>
                    <a:stretch>
                      <a:fillRect/>
                    </a:stretch>
                  </pic:blipFill>
                  <pic:spPr>
                    <a:xfrm>
                      <a:off x="0" y="0"/>
                      <a:ext cx="828675" cy="132080"/>
                    </a:xfrm>
                    <a:prstGeom prst="rect">
                      <a:avLst/>
                    </a:prstGeom>
                    <a:ln/>
                  </pic:spPr>
                </pic:pic>
              </a:graphicData>
            </a:graphic>
          </wp:inline>
        </w:drawing>
      </w:r>
    </w:p>
    <w:p w14:paraId="32B2CC16" w14:textId="77777777" w:rsidR="001928E8" w:rsidRDefault="001928E8" w:rsidP="001928E8">
      <w:pPr>
        <w:spacing w:line="240" w:lineRule="auto"/>
        <w:rPr>
          <w:rFonts w:ascii="Tahoma" w:eastAsia="Tahoma" w:hAnsi="Tahoma" w:cs="Tahoma"/>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p>
    <w:p w14:paraId="104C44D5" w14:textId="77777777" w:rsidR="001928E8" w:rsidRDefault="001928E8" w:rsidP="001928E8">
      <w:pPr>
        <w:pBdr>
          <w:bottom w:val="single" w:sz="4" w:space="1" w:color="000000"/>
        </w:pBdr>
        <w:spacing w:line="240" w:lineRule="auto"/>
        <w:rPr>
          <w:rFonts w:ascii="Tahoma" w:eastAsia="Tahoma" w:hAnsi="Tahoma" w:cs="Tahoma"/>
          <w:b/>
          <w:bCs/>
          <w:sz w:val="20"/>
          <w:szCs w:val="20"/>
        </w:rPr>
      </w:pPr>
      <w:hyperlink r:id="rId6">
        <w:r>
          <w:rPr>
            <w:rFonts w:ascii="Tahoma" w:eastAsia="Tahoma" w:hAnsi="Tahoma" w:cs="Tahoma"/>
            <w:b/>
            <w:bCs/>
            <w:color w:val="0000FF"/>
            <w:sz w:val="20"/>
            <w:szCs w:val="20"/>
            <w:u w:val="single"/>
          </w:rPr>
          <w:t>pearmedia.cz</w:t>
        </w:r>
      </w:hyperlink>
    </w:p>
    <w:p w14:paraId="58F954E0" w14:textId="77777777" w:rsidR="001928E8" w:rsidRDefault="001928E8" w:rsidP="001928E8">
      <w:pPr>
        <w:jc w:val="both"/>
        <w:rPr>
          <w:rFonts w:ascii="Tahoma" w:eastAsia="Tahoma" w:hAnsi="Tahoma" w:cs="Tahoma"/>
          <w:b/>
          <w:bCs/>
          <w:sz w:val="20"/>
          <w:szCs w:val="20"/>
        </w:rPr>
      </w:pPr>
      <w:r>
        <w:rPr>
          <w:rFonts w:ascii="Tahoma" w:eastAsia="Tahoma" w:hAnsi="Tahoma" w:cs="Tahoma"/>
          <w:b/>
          <w:bCs/>
          <w:sz w:val="20"/>
          <w:szCs w:val="20"/>
        </w:rPr>
        <w:t xml:space="preserve">STŘEDNÍ ODBORNÁ ŠKOLA JAROV, </w:t>
      </w:r>
      <w:hyperlink r:id="rId7">
        <w:r>
          <w:rPr>
            <w:rFonts w:ascii="Tahoma" w:eastAsia="Tahoma" w:hAnsi="Tahoma" w:cs="Tahoma"/>
            <w:b/>
            <w:bCs/>
            <w:color w:val="0000FF"/>
            <w:sz w:val="20"/>
            <w:szCs w:val="20"/>
            <w:u w:val="single"/>
          </w:rPr>
          <w:t>www.skolajarov.cz</w:t>
        </w:r>
      </w:hyperlink>
    </w:p>
    <w:p w14:paraId="703A09BC" w14:textId="77777777" w:rsidR="001928E8" w:rsidRDefault="001928E8" w:rsidP="001928E8">
      <w:pPr>
        <w:jc w:val="both"/>
        <w:rPr>
          <w:rFonts w:ascii="Tahoma" w:eastAsia="Tahoma" w:hAnsi="Tahoma" w:cs="Tahoma"/>
          <w:sz w:val="15"/>
          <w:szCs w:val="15"/>
        </w:rPr>
      </w:pPr>
      <w:r>
        <w:rPr>
          <w:rFonts w:ascii="Tahoma" w:eastAsia="Tahoma" w:hAnsi="Tahoma" w:cs="Tahoma"/>
          <w:sz w:val="15"/>
          <w:szCs w:val="15"/>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bookmarkEnd w:id="0"/>
    </w:p>
    <w:p w14:paraId="77228D69" w14:textId="77777777" w:rsidR="001928E8" w:rsidRDefault="001928E8"/>
    <w:sectPr w:rsidR="001928E8" w:rsidSect="001928E8">
      <w:headerReference w:type="default" r:id="rId8"/>
      <w:footerReference w:type="default" r:id="rId9"/>
      <w:headerReference w:type="first" r:id="rId10"/>
      <w:footerReference w:type="first" r:id="rId1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277A"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4"/>
        <w:szCs w:val="24"/>
      </w:rPr>
    </w:pPr>
    <w:r>
      <w:rPr>
        <w:noProof/>
      </w:rPr>
      <w:drawing>
        <wp:anchor distT="0" distB="0" distL="0" distR="0" simplePos="0" relativeHeight="251659264" behindDoc="1" locked="0" layoutInCell="1" hidden="0" allowOverlap="1" wp14:anchorId="0DA1C9D9" wp14:editId="12C93B36">
          <wp:simplePos x="0" y="0"/>
          <wp:positionH relativeFrom="column">
            <wp:posOffset>-880743</wp:posOffset>
          </wp:positionH>
          <wp:positionV relativeFrom="paragraph">
            <wp:posOffset>0</wp:posOffset>
          </wp:positionV>
          <wp:extent cx="7548880" cy="381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60383"/>
                  <a:stretch>
                    <a:fillRect/>
                  </a:stretch>
                </pic:blipFill>
                <pic:spPr>
                  <a:xfrm>
                    <a:off x="0" y="0"/>
                    <a:ext cx="7548880" cy="381000"/>
                  </a:xfrm>
                  <a:prstGeom prst="rect">
                    <a:avLst/>
                  </a:prstGeom>
                  <a:ln/>
                </pic:spPr>
              </pic:pic>
            </a:graphicData>
          </a:graphic>
        </wp:anchor>
      </w:drawing>
    </w:r>
  </w:p>
  <w:p w14:paraId="631A22D3"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3DB3"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4"/>
        <w:szCs w:val="24"/>
      </w:rPr>
    </w:pPr>
    <w:r>
      <w:rPr>
        <w:noProof/>
      </w:rPr>
      <w:drawing>
        <wp:anchor distT="0" distB="0" distL="0" distR="0" simplePos="0" relativeHeight="251659264" behindDoc="1" locked="0" layoutInCell="1" hidden="0" allowOverlap="1" wp14:anchorId="0E540375" wp14:editId="481558E6">
          <wp:simplePos x="0" y="0"/>
          <wp:positionH relativeFrom="column">
            <wp:posOffset>-880743</wp:posOffset>
          </wp:positionH>
          <wp:positionV relativeFrom="paragraph">
            <wp:posOffset>0</wp:posOffset>
          </wp:positionV>
          <wp:extent cx="7548880" cy="3810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60383"/>
                  <a:stretch>
                    <a:fillRect/>
                  </a:stretch>
                </pic:blipFill>
                <pic:spPr>
                  <a:xfrm>
                    <a:off x="0" y="0"/>
                    <a:ext cx="7548880" cy="381000"/>
                  </a:xfrm>
                  <a:prstGeom prst="rect">
                    <a:avLst/>
                  </a:prstGeom>
                  <a:ln/>
                </pic:spPr>
              </pic:pic>
            </a:graphicData>
          </a:graphic>
        </wp:anchor>
      </w:drawing>
    </w:r>
  </w:p>
  <w:p w14:paraId="1796CA08"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C788"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r>
      <w:rPr>
        <w:noProof/>
      </w:rPr>
      <w:drawing>
        <wp:anchor distT="0" distB="0" distL="114300" distR="114300" simplePos="0" relativeHeight="251659264" behindDoc="0" locked="0" layoutInCell="1" hidden="0" allowOverlap="1" wp14:anchorId="3D5C7B6D" wp14:editId="1FF7DA51">
          <wp:simplePos x="0" y="0"/>
          <wp:positionH relativeFrom="column">
            <wp:posOffset>-194944</wp:posOffset>
          </wp:positionH>
          <wp:positionV relativeFrom="paragraph">
            <wp:posOffset>83820</wp:posOffset>
          </wp:positionV>
          <wp:extent cx="1285875" cy="1285875"/>
          <wp:effectExtent l="0" t="0" r="0" b="0"/>
          <wp:wrapSquare wrapText="bothSides" distT="0" distB="0" distL="114300" distR="114300"/>
          <wp:docPr id="5" name="image1.png" descr="C:\Users\Eli\AppData\Local\Microsoft\Windows\Temporary Internet Files\Content.Word\LOGO.JPG"/>
          <wp:cNvGraphicFramePr/>
          <a:graphic xmlns:a="http://schemas.openxmlformats.org/drawingml/2006/main">
            <a:graphicData uri="http://schemas.openxmlformats.org/drawingml/2006/picture">
              <pic:pic xmlns:pic="http://schemas.openxmlformats.org/drawingml/2006/picture">
                <pic:nvPicPr>
                  <pic:cNvPr id="0" name="image1.png" descr="C:\Users\Eli\AppData\Local\Microsoft\Windows\Temporary Internet Files\Content.Word\LOGO.JPG"/>
                  <pic:cNvPicPr preferRelativeResize="0"/>
                </pic:nvPicPr>
                <pic:blipFill>
                  <a:blip r:embed="rId1"/>
                  <a:srcRect/>
                  <a:stretch>
                    <a:fillRect/>
                  </a:stretch>
                </pic:blipFill>
                <pic:spPr>
                  <a:xfrm>
                    <a:off x="0" y="0"/>
                    <a:ext cx="1285875" cy="1285875"/>
                  </a:xfrm>
                  <a:prstGeom prst="rect">
                    <a:avLst/>
                  </a:prstGeom>
                  <a:ln/>
                </pic:spPr>
              </pic:pic>
            </a:graphicData>
          </a:graphic>
        </wp:anchor>
      </w:drawing>
    </w:r>
  </w:p>
  <w:p w14:paraId="63AC6C18"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68BBBDB1"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05691B80"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36"/>
        <w:szCs w:val="36"/>
      </w:rPr>
    </w:pPr>
  </w:p>
  <w:p w14:paraId="2C50BC11"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r>
      <w:rPr>
        <w:b/>
        <w:bCs/>
        <w:color w:val="000000"/>
        <w:sz w:val="36"/>
        <w:szCs w:val="36"/>
      </w:rPr>
      <w:t>TISKOVÁ ZPRÁVA</w:t>
    </w:r>
  </w:p>
  <w:p w14:paraId="304BA55A"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61134AFB"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3C305E7E"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26A5E36A"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4512129A"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61608784"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4F3BD088"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44BBDBBB"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75E9651B"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15D8A44A"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33235884"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6E078B2E"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32734BA3"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0C2983A9"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2FAC9CE6"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0C0BE75E" w14:textId="77777777" w:rsidR="001928E8" w:rsidRDefault="001928E8">
    <w:pPr>
      <w:pBdr>
        <w:top w:val="nil"/>
        <w:left w:val="nil"/>
        <w:bottom w:val="nil"/>
        <w:right w:val="nil"/>
        <w:between w:val="nil"/>
      </w:pBdr>
      <w:tabs>
        <w:tab w:val="center" w:pos="4536"/>
        <w:tab w:val="right" w:pos="9072"/>
      </w:tabs>
      <w:spacing w:after="0" w:line="240" w:lineRule="auto"/>
      <w:jc w:val="right"/>
      <w:rPr>
        <w:b/>
        <w:bCs/>
        <w:color w:val="000000"/>
        <w:sz w:val="2"/>
        <w:szCs w:val="2"/>
      </w:rPr>
    </w:pPr>
  </w:p>
  <w:p w14:paraId="3FB7C363"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07CF7653"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3CFAFAF6"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037A7AAD"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0CC0E105"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5E8529B2"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359D8A4D"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77CF7061"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6C173338"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5114E075"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28F3BEC0"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29E981DA"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7E274136"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42FDBD96"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p w14:paraId="1B5EFED5"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54FE"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r>
      <w:rPr>
        <w:noProof/>
      </w:rPr>
      <w:drawing>
        <wp:anchor distT="0" distB="0" distL="114300" distR="114300" simplePos="0" relativeHeight="251659264" behindDoc="0" locked="0" layoutInCell="1" hidden="0" allowOverlap="1" wp14:anchorId="25FB6F59" wp14:editId="39EB5FCE">
          <wp:simplePos x="0" y="0"/>
          <wp:positionH relativeFrom="column">
            <wp:posOffset>-195579</wp:posOffset>
          </wp:positionH>
          <wp:positionV relativeFrom="paragraph">
            <wp:posOffset>83185</wp:posOffset>
          </wp:positionV>
          <wp:extent cx="1304925" cy="1304925"/>
          <wp:effectExtent l="0" t="0" r="0" b="0"/>
          <wp:wrapSquare wrapText="bothSides" distT="0" distB="0" distL="114300" distR="114300"/>
          <wp:docPr id="1" name="image1.png" descr="C:\Users\Eli\AppData\Local\Microsoft\Windows\Temporary Internet Files\Content.Word\LOGO.JPG"/>
          <wp:cNvGraphicFramePr/>
          <a:graphic xmlns:a="http://schemas.openxmlformats.org/drawingml/2006/main">
            <a:graphicData uri="http://schemas.openxmlformats.org/drawingml/2006/picture">
              <pic:pic xmlns:pic="http://schemas.openxmlformats.org/drawingml/2006/picture">
                <pic:nvPicPr>
                  <pic:cNvPr id="0" name="image1.png" descr="C:\Users\Eli\AppData\Local\Microsoft\Windows\Temporary Internet Files\Content.Word\LOGO.JPG"/>
                  <pic:cNvPicPr preferRelativeResize="0"/>
                </pic:nvPicPr>
                <pic:blipFill>
                  <a:blip r:embed="rId1"/>
                  <a:srcRect/>
                  <a:stretch>
                    <a:fillRect/>
                  </a:stretch>
                </pic:blipFill>
                <pic:spPr>
                  <a:xfrm>
                    <a:off x="0" y="0"/>
                    <a:ext cx="1304925" cy="1304925"/>
                  </a:xfrm>
                  <a:prstGeom prst="rect">
                    <a:avLst/>
                  </a:prstGeom>
                  <a:ln/>
                </pic:spPr>
              </pic:pic>
            </a:graphicData>
          </a:graphic>
        </wp:anchor>
      </w:drawing>
    </w:r>
  </w:p>
  <w:p w14:paraId="61566DF6"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4BC56077"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6E1296DC"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5A3269C2"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r>
      <w:rPr>
        <w:b/>
        <w:bCs/>
        <w:color w:val="000000"/>
        <w:sz w:val="36"/>
        <w:szCs w:val="36"/>
      </w:rPr>
      <w:t>TISKOVÁ ZPRÁVA</w:t>
    </w:r>
  </w:p>
  <w:p w14:paraId="5B1030C9" w14:textId="77777777" w:rsidR="001928E8" w:rsidRDefault="001928E8">
    <w:pPr>
      <w:pBdr>
        <w:top w:val="nil"/>
        <w:left w:val="nil"/>
        <w:bottom w:val="nil"/>
        <w:right w:val="nil"/>
        <w:between w:val="nil"/>
      </w:pBdr>
      <w:tabs>
        <w:tab w:val="center" w:pos="4536"/>
        <w:tab w:val="right" w:pos="9072"/>
      </w:tabs>
      <w:spacing w:after="0" w:line="240" w:lineRule="auto"/>
      <w:ind w:firstLine="1416"/>
      <w:jc w:val="right"/>
      <w:rPr>
        <w:b/>
        <w:bCs/>
        <w:color w:val="000000"/>
        <w:sz w:val="36"/>
        <w:szCs w:val="36"/>
      </w:rPr>
    </w:pPr>
  </w:p>
  <w:p w14:paraId="172C6BC9" w14:textId="77777777" w:rsidR="001928E8" w:rsidRDefault="001928E8">
    <w:pPr>
      <w:pBdr>
        <w:top w:val="nil"/>
        <w:left w:val="nil"/>
        <w:bottom w:val="nil"/>
        <w:right w:val="nil"/>
        <w:between w:val="nil"/>
      </w:pBdr>
      <w:tabs>
        <w:tab w:val="center" w:pos="4536"/>
        <w:tab w:val="right" w:pos="9072"/>
      </w:tabs>
      <w:spacing w:after="0" w:line="240" w:lineRule="auto"/>
      <w:rPr>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8E8"/>
    <w:rsid w:val="001928E8"/>
    <w:rsid w:val="00B84D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479"/>
  <w15:chartTrackingRefBased/>
  <w15:docId w15:val="{4ABCDC9D-EF3D-4B10-A2AD-1F9E2F0F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28E8"/>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1928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1928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1928E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1928E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1928E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1928E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1928E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1928E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1928E8"/>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928E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928E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928E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928E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928E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928E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928E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928E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928E8"/>
    <w:rPr>
      <w:rFonts w:eastAsiaTheme="majorEastAsia" w:cstheme="majorBidi"/>
      <w:color w:val="272727" w:themeColor="text1" w:themeTint="D8"/>
    </w:rPr>
  </w:style>
  <w:style w:type="paragraph" w:styleId="Nzev">
    <w:name w:val="Title"/>
    <w:basedOn w:val="Normln"/>
    <w:next w:val="Normln"/>
    <w:link w:val="NzevChar"/>
    <w:uiPriority w:val="10"/>
    <w:qFormat/>
    <w:rsid w:val="001928E8"/>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1928E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928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1928E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928E8"/>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1928E8"/>
    <w:rPr>
      <w:i/>
      <w:iCs/>
      <w:color w:val="404040" w:themeColor="text1" w:themeTint="BF"/>
    </w:rPr>
  </w:style>
  <w:style w:type="paragraph" w:styleId="Odstavecseseznamem">
    <w:name w:val="List Paragraph"/>
    <w:basedOn w:val="Normln"/>
    <w:uiPriority w:val="34"/>
    <w:qFormat/>
    <w:rsid w:val="001928E8"/>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1928E8"/>
    <w:rPr>
      <w:i/>
      <w:iCs/>
      <w:color w:val="2F5496" w:themeColor="accent1" w:themeShade="BF"/>
    </w:rPr>
  </w:style>
  <w:style w:type="paragraph" w:styleId="Vrazncitt">
    <w:name w:val="Intense Quote"/>
    <w:basedOn w:val="Normln"/>
    <w:next w:val="Normln"/>
    <w:link w:val="VrazncittChar"/>
    <w:uiPriority w:val="30"/>
    <w:qFormat/>
    <w:rsid w:val="001928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1928E8"/>
    <w:rPr>
      <w:i/>
      <w:iCs/>
      <w:color w:val="2F5496" w:themeColor="accent1" w:themeShade="BF"/>
    </w:rPr>
  </w:style>
  <w:style w:type="character" w:styleId="Odkazintenzivn">
    <w:name w:val="Intense Reference"/>
    <w:basedOn w:val="Standardnpsmoodstavce"/>
    <w:uiPriority w:val="32"/>
    <w:qFormat/>
    <w:rsid w:val="00192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kolajarov.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armedia.cz/" TargetMode="External"/><Relationship Id="rId11" Type="http://schemas.openxmlformats.org/officeDocument/2006/relationships/footer" Target="footer2.xml"/><Relationship Id="rId5" Type="http://schemas.openxmlformats.org/officeDocument/2006/relationships/hyperlink" Target="mailto:petra@pearmedia.cz" TargetMode="Externa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4626</Characters>
  <Application>Microsoft Office Word</Application>
  <DocSecurity>0</DocSecurity>
  <Lines>38</Lines>
  <Paragraphs>10</Paragraphs>
  <ScaleCrop>false</ScaleCrop>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2026-03-16T07:44:00Z</dcterms:created>
  <dcterms:modified xsi:type="dcterms:W3CDTF">2026-03-16T07:44:00Z</dcterms:modified>
</cp:coreProperties>
</file>