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0C94E" w14:textId="77777777" w:rsidR="00DF4291" w:rsidRDefault="00000000">
      <w:pPr>
        <w:jc w:val="center"/>
        <w:rPr>
          <w:rFonts w:ascii="Tahoma" w:eastAsia="Tahoma" w:hAnsi="Tahoma" w:cs="Tahoma"/>
          <w:b/>
          <w:sz w:val="42"/>
          <w:szCs w:val="42"/>
        </w:rPr>
      </w:pPr>
      <w:r>
        <w:rPr>
          <w:rFonts w:ascii="Tahoma" w:eastAsia="Tahoma" w:hAnsi="Tahoma" w:cs="Tahoma"/>
          <w:b/>
          <w:sz w:val="42"/>
          <w:szCs w:val="42"/>
        </w:rPr>
        <w:t>Od robotů po virtuální realitu. V České Třebové vyrostlo nové vzdělávací centrum nabité technologiemi</w:t>
      </w:r>
    </w:p>
    <w:p w14:paraId="2AA79326" w14:textId="77777777" w:rsidR="00DF4291" w:rsidRPr="00286189" w:rsidRDefault="00000000">
      <w:pPr>
        <w:jc w:val="both"/>
        <w:rPr>
          <w:rFonts w:ascii="Tahoma" w:eastAsia="Tahoma" w:hAnsi="Tahoma" w:cs="Tahoma"/>
          <w:b/>
          <w:sz w:val="21"/>
          <w:szCs w:val="21"/>
        </w:rPr>
      </w:pPr>
      <w:r w:rsidRPr="00286189">
        <w:rPr>
          <w:rFonts w:ascii="Tahoma" w:eastAsia="Tahoma" w:hAnsi="Tahoma" w:cs="Tahoma"/>
          <w:b/>
          <w:sz w:val="21"/>
          <w:szCs w:val="21"/>
        </w:rPr>
        <w:t xml:space="preserve">PRAHA, 9. ŘÍJNA 2026 – Česká Třebová získala unikátní středisko pro praktickou výuku studentů moderních technologií. Hlavním posláním </w:t>
      </w:r>
      <w:proofErr w:type="spellStart"/>
      <w:r w:rsidRPr="00286189">
        <w:rPr>
          <w:rFonts w:ascii="Tahoma" w:eastAsia="Tahoma" w:hAnsi="Tahoma" w:cs="Tahoma"/>
          <w:b/>
          <w:sz w:val="21"/>
          <w:szCs w:val="21"/>
        </w:rPr>
        <w:t>CzechUpEDU</w:t>
      </w:r>
      <w:proofErr w:type="spellEnd"/>
      <w:r w:rsidRPr="00286189">
        <w:rPr>
          <w:rFonts w:ascii="Tahoma" w:eastAsia="Tahoma" w:hAnsi="Tahoma" w:cs="Tahoma"/>
          <w:b/>
          <w:sz w:val="21"/>
          <w:szCs w:val="21"/>
        </w:rPr>
        <w:t xml:space="preserve"> centra je propojení škol s praxí a nabídka toho, co školy často postrádají – zážitkové workshopy, zkušené lektory a přístup ke špičkovému vybavení.</w:t>
      </w:r>
    </w:p>
    <w:p w14:paraId="79C4DC29" w14:textId="77777777" w:rsidR="00DF4291" w:rsidRPr="00286189" w:rsidRDefault="00000000">
      <w:pPr>
        <w:jc w:val="both"/>
        <w:rPr>
          <w:rFonts w:ascii="Tahoma" w:eastAsia="Tahoma" w:hAnsi="Tahoma" w:cs="Tahoma"/>
          <w:bCs/>
          <w:sz w:val="21"/>
          <w:szCs w:val="21"/>
        </w:rPr>
      </w:pPr>
      <w:r w:rsidRPr="00286189">
        <w:rPr>
          <w:rFonts w:ascii="Tahoma" w:eastAsia="Tahoma" w:hAnsi="Tahoma" w:cs="Tahoma"/>
          <w:bCs/>
          <w:sz w:val="21"/>
          <w:szCs w:val="21"/>
        </w:rPr>
        <w:t xml:space="preserve">S rychlým tempem digitalizace ve společnosti dokáží školy jen stěží držet krok. Obvykle jim chybí technologie, personál i příležitosti pro praktickou výuku. Právě tyto nedostatky má </w:t>
      </w:r>
      <w:proofErr w:type="spellStart"/>
      <w:r w:rsidRPr="00286189">
        <w:rPr>
          <w:rFonts w:ascii="Tahoma" w:eastAsia="Tahoma" w:hAnsi="Tahoma" w:cs="Tahoma"/>
          <w:bCs/>
          <w:sz w:val="21"/>
          <w:szCs w:val="21"/>
        </w:rPr>
        <w:t>CzechUpEDU</w:t>
      </w:r>
      <w:proofErr w:type="spellEnd"/>
      <w:r w:rsidRPr="00286189">
        <w:rPr>
          <w:rFonts w:ascii="Tahoma" w:eastAsia="Tahoma" w:hAnsi="Tahoma" w:cs="Tahoma"/>
          <w:bCs/>
          <w:sz w:val="21"/>
          <w:szCs w:val="21"/>
        </w:rPr>
        <w:t xml:space="preserve"> centrum v kraji nahradit. </w:t>
      </w:r>
    </w:p>
    <w:p w14:paraId="103F1C6A" w14:textId="35E8A69E" w:rsidR="00DF4291" w:rsidRPr="00286189" w:rsidRDefault="00286189">
      <w:pPr>
        <w:jc w:val="both"/>
        <w:rPr>
          <w:rFonts w:ascii="Tahoma" w:eastAsia="Tahoma" w:hAnsi="Tahoma" w:cs="Tahoma"/>
          <w:bCs/>
          <w:sz w:val="21"/>
          <w:szCs w:val="21"/>
        </w:rPr>
      </w:pPr>
      <w:r w:rsidRPr="00286189">
        <w:rPr>
          <w:rFonts w:ascii="Tahoma" w:eastAsia="Tahoma" w:hAnsi="Tahoma" w:cs="Tahoma"/>
          <w:color w:val="CC9900"/>
          <w:sz w:val="21"/>
          <w:szCs w:val="21"/>
        </w:rPr>
        <w:t xml:space="preserve">„Propojujeme školy, pedagogy a odborníky do jednoho vzdělávacího ekosystému, který připravuje studenty na svět plný digitálních technologií a umělé inteligence. Tyto kompetence stále nabývají na síle, školy si ale často nevědí rady, jak je posilovat. Navíc vybavit školu tak, aby odpovídala moderním trendům, je velmi nákladné a školy, které chtějí žákům vzdělání v této oblasti nabídnout, často narazí na finanční limity. Proto jsme vytvořili podpůrné prostředí, kde je možné s technologiemi experimentovat a učit se prožitkem, nejen podle teorie. Stačí si jako učitel rezervovat termín a přijít se studenty vše vyzkoušet pod vedením specialistů z praxe,“ </w:t>
      </w:r>
      <w:r w:rsidR="00000000" w:rsidRPr="00286189">
        <w:rPr>
          <w:rFonts w:ascii="Tahoma" w:eastAsia="Tahoma" w:hAnsi="Tahoma" w:cs="Tahoma"/>
          <w:bCs/>
          <w:sz w:val="21"/>
          <w:szCs w:val="21"/>
        </w:rPr>
        <w:t xml:space="preserve">uvedla Vladimíra Krejčíková, regionální koordinátorka neziskové organizace Junior </w:t>
      </w:r>
      <w:proofErr w:type="spellStart"/>
      <w:r w:rsidR="00000000" w:rsidRPr="00286189">
        <w:rPr>
          <w:rFonts w:ascii="Tahoma" w:eastAsia="Tahoma" w:hAnsi="Tahoma" w:cs="Tahoma"/>
          <w:bCs/>
          <w:sz w:val="21"/>
          <w:szCs w:val="21"/>
        </w:rPr>
        <w:t>Achievement</w:t>
      </w:r>
      <w:proofErr w:type="spellEnd"/>
      <w:r w:rsidR="00000000" w:rsidRPr="00286189">
        <w:rPr>
          <w:rFonts w:ascii="Tahoma" w:eastAsia="Tahoma" w:hAnsi="Tahoma" w:cs="Tahoma"/>
          <w:bCs/>
          <w:sz w:val="21"/>
          <w:szCs w:val="21"/>
        </w:rPr>
        <w:t xml:space="preserve"> Czech (JA Czech).</w:t>
      </w:r>
    </w:p>
    <w:p w14:paraId="6031CA60" w14:textId="77777777" w:rsidR="00DF4291" w:rsidRPr="00286189" w:rsidRDefault="00000000">
      <w:pPr>
        <w:jc w:val="both"/>
        <w:rPr>
          <w:rFonts w:ascii="Tahoma" w:eastAsia="Tahoma" w:hAnsi="Tahoma" w:cs="Tahoma"/>
          <w:bCs/>
          <w:sz w:val="21"/>
          <w:szCs w:val="21"/>
        </w:rPr>
      </w:pPr>
      <w:proofErr w:type="spellStart"/>
      <w:r w:rsidRPr="00286189">
        <w:rPr>
          <w:rFonts w:ascii="Tahoma" w:eastAsia="Tahoma" w:hAnsi="Tahoma" w:cs="Tahoma"/>
          <w:bCs/>
          <w:sz w:val="21"/>
          <w:szCs w:val="21"/>
        </w:rPr>
        <w:t>CzechUpEDU</w:t>
      </w:r>
      <w:proofErr w:type="spellEnd"/>
      <w:r w:rsidRPr="00286189">
        <w:rPr>
          <w:rFonts w:ascii="Tahoma" w:eastAsia="Tahoma" w:hAnsi="Tahoma" w:cs="Tahoma"/>
          <w:bCs/>
          <w:sz w:val="21"/>
          <w:szCs w:val="21"/>
        </w:rPr>
        <w:t xml:space="preserve"> centrum má kapacitu pro 20 studentů a školám zatím nabídne osm tematických workshopů na adrese Habrmanova 1540. Studenti zde mohou prozkoumat zákonitosti 3D tisku, proměnit digitální model ve skutečný produkt, smontovat robotického mazlíčka nebo objevit fantaskní prostředí virtuální reality. Programy zaberou od dvou do tří vyučovacích hodin, tedy 90 až 135 minut, a vhodné jsou především jako zpestření výuky v oborech STEM (předměty jako fyzika, chemie, biologie, ekologie, geologie, ICT, technické předměty a matematika).</w:t>
      </w:r>
    </w:p>
    <w:p w14:paraId="712DA3BB" w14:textId="34254F94" w:rsidR="00DF4291" w:rsidRPr="00286189" w:rsidRDefault="00286189">
      <w:pPr>
        <w:jc w:val="both"/>
        <w:rPr>
          <w:rFonts w:ascii="Tahoma" w:eastAsia="Tahoma" w:hAnsi="Tahoma" w:cs="Tahoma"/>
          <w:bCs/>
          <w:color w:val="CC9900"/>
          <w:sz w:val="21"/>
          <w:szCs w:val="21"/>
        </w:rPr>
      </w:pPr>
      <w:r w:rsidRPr="00286189">
        <w:rPr>
          <w:rFonts w:ascii="Tahoma" w:eastAsia="Tahoma" w:hAnsi="Tahoma" w:cs="Tahoma"/>
          <w:color w:val="CC9900"/>
          <w:sz w:val="21"/>
          <w:szCs w:val="21"/>
        </w:rPr>
        <w:t xml:space="preserve">„Klíčovou myšlenkou </w:t>
      </w:r>
      <w:proofErr w:type="spellStart"/>
      <w:r w:rsidRPr="00286189">
        <w:rPr>
          <w:rFonts w:ascii="Tahoma" w:eastAsia="Tahoma" w:hAnsi="Tahoma" w:cs="Tahoma"/>
          <w:color w:val="CC9900"/>
          <w:sz w:val="21"/>
          <w:szCs w:val="21"/>
        </w:rPr>
        <w:t>CzechUpEDU</w:t>
      </w:r>
      <w:proofErr w:type="spellEnd"/>
      <w:r w:rsidRPr="00286189">
        <w:rPr>
          <w:rFonts w:ascii="Tahoma" w:eastAsia="Tahoma" w:hAnsi="Tahoma" w:cs="Tahoma"/>
          <w:color w:val="CC9900"/>
          <w:sz w:val="21"/>
          <w:szCs w:val="21"/>
        </w:rPr>
        <w:t xml:space="preserve"> center je dostat studentům moderní technologie do ruky, nejenom je ukázat. Chceme, aby si každý účastník mohl říct: „Postavil jsem to. Funguje to. A vím, co s tím dál.“ Studenti si osvojí práci s technologiemi, umělou inteligencí, ale díky metodice programu posílí také práci v týmu nebo prezentaci vlastních nápadů,“ </w:t>
      </w:r>
      <w:r w:rsidR="00000000" w:rsidRPr="00286189">
        <w:rPr>
          <w:rFonts w:ascii="Tahoma" w:eastAsia="Tahoma" w:hAnsi="Tahoma" w:cs="Tahoma"/>
          <w:bCs/>
          <w:sz w:val="21"/>
          <w:szCs w:val="21"/>
        </w:rPr>
        <w:t>popsal Martin Smrž, ředitel JA Czech.</w:t>
      </w:r>
    </w:p>
    <w:p w14:paraId="7EEF3B7C" w14:textId="77777777" w:rsidR="00DF4291" w:rsidRPr="00286189" w:rsidRDefault="00000000">
      <w:pPr>
        <w:jc w:val="both"/>
        <w:rPr>
          <w:rFonts w:ascii="Tahoma" w:eastAsia="Tahoma" w:hAnsi="Tahoma" w:cs="Tahoma"/>
          <w:bCs/>
          <w:sz w:val="21"/>
          <w:szCs w:val="21"/>
        </w:rPr>
      </w:pPr>
      <w:r w:rsidRPr="00286189">
        <w:rPr>
          <w:rFonts w:ascii="Tahoma" w:eastAsia="Tahoma" w:hAnsi="Tahoma" w:cs="Tahoma"/>
          <w:bCs/>
          <w:sz w:val="21"/>
          <w:szCs w:val="21"/>
        </w:rPr>
        <w:t xml:space="preserve">Technologické centrum v České Třebové vzniklo jako jedno ze čtyř strategických center v celé České republice. Sesterská pracoviště se rozjíždí také v Hradci Králové, Ostravě a Karlových Varech. </w:t>
      </w:r>
    </w:p>
    <w:p w14:paraId="3AC9FC4F" w14:textId="257D7F66" w:rsidR="00DF4291" w:rsidRPr="00286189" w:rsidRDefault="00286189">
      <w:pPr>
        <w:jc w:val="both"/>
        <w:rPr>
          <w:rFonts w:ascii="Tahoma" w:eastAsia="Tahoma" w:hAnsi="Tahoma" w:cs="Tahoma"/>
          <w:bCs/>
          <w:sz w:val="21"/>
          <w:szCs w:val="21"/>
        </w:rPr>
      </w:pPr>
      <w:r w:rsidRPr="00286189">
        <w:rPr>
          <w:rFonts w:ascii="Tahoma" w:eastAsia="Tahoma" w:hAnsi="Tahoma" w:cs="Tahoma"/>
          <w:color w:val="CC9900"/>
          <w:sz w:val="21"/>
          <w:szCs w:val="21"/>
        </w:rPr>
        <w:t xml:space="preserve">„Nejedná se o jednorázovou záležitost. Naším cílem je vybudovat trvale dostupnou síť center a poskytnout školám všestrannou podporu při praktické přípravě mladé generace na požadavky trhu práce. Díky dlouhodobé spolupráci JA Czech a Střední školy technické a dopravní Gustava Habrmana padla volba právě na Českou Třebovou. Na této škole již několik let vyrůstá laboratoř </w:t>
      </w:r>
      <w:proofErr w:type="spellStart"/>
      <w:r w:rsidRPr="00286189">
        <w:rPr>
          <w:rFonts w:ascii="Tahoma" w:eastAsia="Tahoma" w:hAnsi="Tahoma" w:cs="Tahoma"/>
          <w:color w:val="CC9900"/>
          <w:sz w:val="21"/>
          <w:szCs w:val="21"/>
        </w:rPr>
        <w:t>smart</w:t>
      </w:r>
      <w:proofErr w:type="spellEnd"/>
      <w:r w:rsidRPr="00286189">
        <w:rPr>
          <w:rFonts w:ascii="Tahoma" w:eastAsia="Tahoma" w:hAnsi="Tahoma" w:cs="Tahoma"/>
          <w:color w:val="CC9900"/>
          <w:sz w:val="21"/>
          <w:szCs w:val="21"/>
        </w:rPr>
        <w:t xml:space="preserve"> technologií za podpory místní firmy </w:t>
      </w:r>
      <w:proofErr w:type="spellStart"/>
      <w:r w:rsidRPr="00286189">
        <w:rPr>
          <w:rFonts w:ascii="Tahoma" w:eastAsia="Tahoma" w:hAnsi="Tahoma" w:cs="Tahoma"/>
          <w:color w:val="CC9900"/>
          <w:sz w:val="21"/>
          <w:szCs w:val="21"/>
        </w:rPr>
        <w:t>Starmon</w:t>
      </w:r>
      <w:proofErr w:type="spellEnd"/>
      <w:r w:rsidRPr="00286189">
        <w:rPr>
          <w:rFonts w:ascii="Tahoma" w:eastAsia="Tahoma" w:hAnsi="Tahoma" w:cs="Tahoma"/>
          <w:color w:val="CC9900"/>
          <w:sz w:val="21"/>
          <w:szCs w:val="21"/>
        </w:rPr>
        <w:t xml:space="preserve">, což byl výborný základ pro vznik </w:t>
      </w:r>
      <w:proofErr w:type="spellStart"/>
      <w:r w:rsidRPr="00286189">
        <w:rPr>
          <w:rFonts w:ascii="Tahoma" w:eastAsia="Tahoma" w:hAnsi="Tahoma" w:cs="Tahoma"/>
          <w:color w:val="CC9900"/>
          <w:sz w:val="21"/>
          <w:szCs w:val="21"/>
        </w:rPr>
        <w:t>CzechUpEDU</w:t>
      </w:r>
      <w:proofErr w:type="spellEnd"/>
      <w:r w:rsidRPr="00286189">
        <w:rPr>
          <w:rFonts w:ascii="Tahoma" w:eastAsia="Tahoma" w:hAnsi="Tahoma" w:cs="Tahoma"/>
          <w:color w:val="CC9900"/>
          <w:sz w:val="21"/>
          <w:szCs w:val="21"/>
        </w:rPr>
        <w:t xml:space="preserve"> centra. V něm se těšíme na všechny středoškoláky a případně i žáky základních škol, kteří přicestují z bližšího i vzdálenějšího okolí,“ </w:t>
      </w:r>
      <w:r w:rsidR="00000000" w:rsidRPr="00286189">
        <w:rPr>
          <w:rFonts w:ascii="Tahoma" w:eastAsia="Tahoma" w:hAnsi="Tahoma" w:cs="Tahoma"/>
          <w:bCs/>
          <w:sz w:val="21"/>
          <w:szCs w:val="21"/>
        </w:rPr>
        <w:t>prozradila Vladimíra Krejčíková.</w:t>
      </w:r>
    </w:p>
    <w:p w14:paraId="71E12AB4" w14:textId="77777777" w:rsidR="00DF4291" w:rsidRPr="00286189" w:rsidRDefault="00000000">
      <w:pPr>
        <w:jc w:val="both"/>
        <w:rPr>
          <w:rFonts w:ascii="Tahoma" w:eastAsia="Tahoma" w:hAnsi="Tahoma" w:cs="Tahoma"/>
          <w:bCs/>
          <w:sz w:val="21"/>
          <w:szCs w:val="21"/>
        </w:rPr>
      </w:pPr>
      <w:r w:rsidRPr="00286189">
        <w:rPr>
          <w:rFonts w:ascii="Tahoma" w:eastAsia="Tahoma" w:hAnsi="Tahoma" w:cs="Tahoma"/>
          <w:bCs/>
          <w:sz w:val="21"/>
          <w:szCs w:val="21"/>
        </w:rPr>
        <w:lastRenderedPageBreak/>
        <w:t xml:space="preserve">Kompletní programový servis centra je díky finanční podpoře nadace </w:t>
      </w:r>
      <w:proofErr w:type="spellStart"/>
      <w:r w:rsidRPr="00286189">
        <w:rPr>
          <w:rFonts w:ascii="Tahoma" w:eastAsia="Tahoma" w:hAnsi="Tahoma" w:cs="Tahoma"/>
          <w:bCs/>
          <w:sz w:val="21"/>
          <w:szCs w:val="21"/>
        </w:rPr>
        <w:t>Villum</w:t>
      </w:r>
      <w:proofErr w:type="spellEnd"/>
      <w:r w:rsidRPr="00286189">
        <w:rPr>
          <w:rFonts w:ascii="Tahoma" w:eastAsia="Tahoma" w:hAnsi="Tahoma" w:cs="Tahoma"/>
          <w:bCs/>
          <w:sz w:val="21"/>
          <w:szCs w:val="21"/>
        </w:rPr>
        <w:t xml:space="preserve"> </w:t>
      </w:r>
      <w:proofErr w:type="spellStart"/>
      <w:r w:rsidRPr="00286189">
        <w:rPr>
          <w:rFonts w:ascii="Tahoma" w:eastAsia="Tahoma" w:hAnsi="Tahoma" w:cs="Tahoma"/>
          <w:bCs/>
          <w:sz w:val="21"/>
          <w:szCs w:val="21"/>
        </w:rPr>
        <w:t>Fonden</w:t>
      </w:r>
      <w:proofErr w:type="spellEnd"/>
      <w:r w:rsidRPr="00286189">
        <w:rPr>
          <w:rFonts w:ascii="Tahoma" w:eastAsia="Tahoma" w:hAnsi="Tahoma" w:cs="Tahoma"/>
          <w:bCs/>
          <w:sz w:val="21"/>
          <w:szCs w:val="21"/>
        </w:rPr>
        <w:t xml:space="preserve"> zcela zdarma. Na své si v centru kromě studentů přijdou i učitelé, kterým </w:t>
      </w:r>
      <w:proofErr w:type="spellStart"/>
      <w:r w:rsidRPr="00286189">
        <w:rPr>
          <w:rFonts w:ascii="Tahoma" w:eastAsia="Tahoma" w:hAnsi="Tahoma" w:cs="Tahoma"/>
          <w:bCs/>
          <w:sz w:val="21"/>
          <w:szCs w:val="21"/>
        </w:rPr>
        <w:t>CzechUpEDU</w:t>
      </w:r>
      <w:proofErr w:type="spellEnd"/>
      <w:r w:rsidRPr="00286189">
        <w:rPr>
          <w:rFonts w:ascii="Tahoma" w:eastAsia="Tahoma" w:hAnsi="Tahoma" w:cs="Tahoma"/>
          <w:bCs/>
          <w:sz w:val="21"/>
          <w:szCs w:val="21"/>
        </w:rPr>
        <w:t xml:space="preserve"> bude poskytovat různá školení a metodickou podporu do výuky.</w:t>
      </w:r>
    </w:p>
    <w:p w14:paraId="66302A95" w14:textId="5DE102FF" w:rsidR="00DF4291" w:rsidRPr="00286189" w:rsidRDefault="00286189">
      <w:pPr>
        <w:jc w:val="both"/>
        <w:rPr>
          <w:rFonts w:ascii="Tahoma" w:eastAsia="Tahoma" w:hAnsi="Tahoma" w:cs="Tahoma"/>
          <w:bCs/>
          <w:sz w:val="21"/>
          <w:szCs w:val="21"/>
        </w:rPr>
      </w:pPr>
      <w:r w:rsidRPr="00286189">
        <w:rPr>
          <w:rFonts w:ascii="Tahoma" w:eastAsia="Tahoma" w:hAnsi="Tahoma" w:cs="Tahoma"/>
          <w:color w:val="CC9900"/>
          <w:sz w:val="21"/>
          <w:szCs w:val="21"/>
        </w:rPr>
        <w:t xml:space="preserve">„Učitelé tu získají inspiraci pro projektovou a zážitkovou výuku, možnost zapojit studenty do atraktivních projektů a soutěží, k dispozici budou také e-learningové a výukové materiály i mentoring lidí z praxe. Smyslem </w:t>
      </w:r>
      <w:proofErr w:type="spellStart"/>
      <w:r w:rsidRPr="00286189">
        <w:rPr>
          <w:rFonts w:ascii="Tahoma" w:eastAsia="Tahoma" w:hAnsi="Tahoma" w:cs="Tahoma"/>
          <w:color w:val="CC9900"/>
          <w:sz w:val="21"/>
          <w:szCs w:val="21"/>
        </w:rPr>
        <w:t>CzechUpEDU</w:t>
      </w:r>
      <w:proofErr w:type="spellEnd"/>
      <w:r w:rsidRPr="00286189">
        <w:rPr>
          <w:rFonts w:ascii="Tahoma" w:eastAsia="Tahoma" w:hAnsi="Tahoma" w:cs="Tahoma"/>
          <w:color w:val="CC9900"/>
          <w:sz w:val="21"/>
          <w:szCs w:val="21"/>
        </w:rPr>
        <w:t xml:space="preserve"> centra není poskytnout učitelům jeden seminář či aktivitu, ale setrvalou podporu pro výuku a práci s technologiemi,“ </w:t>
      </w:r>
      <w:r w:rsidR="00000000" w:rsidRPr="00286189">
        <w:rPr>
          <w:rFonts w:ascii="Tahoma" w:eastAsia="Tahoma" w:hAnsi="Tahoma" w:cs="Tahoma"/>
          <w:bCs/>
          <w:sz w:val="21"/>
          <w:szCs w:val="21"/>
        </w:rPr>
        <w:t>shrnula Vladimíra Krejčíková.</w:t>
      </w:r>
    </w:p>
    <w:p w14:paraId="60DE853F" w14:textId="77777777" w:rsidR="00DF4291" w:rsidRDefault="00000000">
      <w:pPr>
        <w:pBdr>
          <w:top w:val="single" w:sz="4" w:space="1" w:color="000000"/>
        </w:pBdr>
        <w:jc w:val="both"/>
        <w:rPr>
          <w:rFonts w:ascii="Tahoma" w:eastAsia="Tahoma" w:hAnsi="Tahoma" w:cs="Tahoma"/>
          <w:sz w:val="20"/>
          <w:szCs w:val="20"/>
        </w:rPr>
      </w:pPr>
      <w:r>
        <w:rPr>
          <w:rFonts w:ascii="Tahoma" w:eastAsia="Tahoma" w:hAnsi="Tahoma" w:cs="Tahoma"/>
          <w:b/>
          <w:sz w:val="20"/>
          <w:szCs w:val="20"/>
        </w:rPr>
        <w:t>KONTAKT PRO MÉDIA:</w:t>
      </w:r>
    </w:p>
    <w:p w14:paraId="53AAAA09" w14:textId="77777777" w:rsidR="00DF4291" w:rsidRDefault="00000000">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 xml:space="preserve">Mgr. Eliška </w:t>
      </w:r>
      <w:proofErr w:type="spellStart"/>
      <w:r>
        <w:rPr>
          <w:rFonts w:ascii="Tahoma" w:eastAsia="Tahoma" w:hAnsi="Tahoma" w:cs="Tahoma"/>
          <w:b/>
          <w:color w:val="333333"/>
          <w:sz w:val="18"/>
          <w:szCs w:val="18"/>
        </w:rPr>
        <w:t>Crkovská</w:t>
      </w:r>
      <w:r>
        <w:rPr>
          <w:rFonts w:ascii="Tahoma" w:eastAsia="Tahoma" w:hAnsi="Tahoma" w:cs="Tahoma"/>
          <w:b/>
          <w:color w:val="CC9900"/>
          <w:sz w:val="18"/>
          <w:szCs w:val="18"/>
        </w:rPr>
        <w:t>_mediální</w:t>
      </w:r>
      <w:proofErr w:type="spellEnd"/>
      <w:r>
        <w:rPr>
          <w:rFonts w:ascii="Tahoma" w:eastAsia="Tahoma" w:hAnsi="Tahoma" w:cs="Tahoma"/>
          <w:b/>
          <w:color w:val="CC9900"/>
          <w:sz w:val="18"/>
          <w:szCs w:val="18"/>
        </w:rPr>
        <w:t xml:space="preserve"> konzultant</w:t>
      </w:r>
    </w:p>
    <w:p w14:paraId="554A078A" w14:textId="77777777" w:rsidR="00DF4291" w:rsidRDefault="00000000">
      <w:pPr>
        <w:spacing w:line="240" w:lineRule="auto"/>
        <w:jc w:val="both"/>
        <w:rPr>
          <w:rFonts w:ascii="Tahoma" w:eastAsia="Tahoma" w:hAnsi="Tahoma" w:cs="Tahoma"/>
          <w:b/>
          <w:sz w:val="18"/>
          <w:szCs w:val="18"/>
        </w:rPr>
      </w:pPr>
      <w:r>
        <w:rPr>
          <w:noProof/>
        </w:rPr>
        <w:drawing>
          <wp:inline distT="0" distB="0" distL="0" distR="0" wp14:anchorId="04AF5DFB" wp14:editId="56B517C9">
            <wp:extent cx="833755" cy="13271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833755" cy="132715"/>
                    </a:xfrm>
                    <a:prstGeom prst="rect">
                      <a:avLst/>
                    </a:prstGeom>
                    <a:noFill/>
                  </pic:spPr>
                </pic:pic>
              </a:graphicData>
            </a:graphic>
          </wp:inline>
        </w:drawing>
      </w:r>
    </w:p>
    <w:p w14:paraId="14102508" w14:textId="77777777" w:rsidR="00DF4291" w:rsidRDefault="00000000">
      <w:pPr>
        <w:pBdr>
          <w:bottom w:val="single" w:sz="4" w:space="1" w:color="000000"/>
        </w:pBdr>
        <w:spacing w:line="240" w:lineRule="auto"/>
        <w:jc w:val="both"/>
        <w:rPr>
          <w:rFonts w:ascii="Tahoma" w:eastAsia="Tahoma" w:hAnsi="Tahoma" w:cs="Tahoma"/>
          <w:b/>
          <w:color w:val="0000FF"/>
          <w:sz w:val="18"/>
          <w:szCs w:val="18"/>
          <w:u w:val="single"/>
        </w:rPr>
      </w:pPr>
      <w:r>
        <w:rPr>
          <w:rFonts w:ascii="Tahoma" w:eastAsia="Tahoma" w:hAnsi="Tahoma" w:cs="Tahoma"/>
          <w:b/>
          <w:sz w:val="18"/>
          <w:szCs w:val="18"/>
        </w:rPr>
        <w:t xml:space="preserve">+420 605 218 549, </w:t>
      </w:r>
      <w:hyperlink r:id="rId8">
        <w:r w:rsidR="00DF4291">
          <w:rPr>
            <w:rFonts w:ascii="Tahoma" w:eastAsia="Tahoma" w:hAnsi="Tahoma" w:cs="Tahoma"/>
            <w:b/>
            <w:color w:val="0000FF"/>
            <w:sz w:val="18"/>
            <w:szCs w:val="18"/>
            <w:u w:val="single"/>
          </w:rPr>
          <w:t>eliska@pearmedia.cz</w:t>
        </w:r>
      </w:hyperlink>
    </w:p>
    <w:p w14:paraId="4A696CF6" w14:textId="77777777" w:rsidR="00DF4291" w:rsidRDefault="00000000">
      <w:pPr>
        <w:jc w:val="both"/>
        <w:rPr>
          <w:rFonts w:ascii="Tahoma" w:eastAsia="Tahoma" w:hAnsi="Tahoma" w:cs="Tahoma"/>
          <w:b/>
          <w:sz w:val="20"/>
          <w:szCs w:val="20"/>
        </w:rPr>
      </w:pPr>
      <w:r>
        <w:rPr>
          <w:rFonts w:ascii="Tahoma" w:eastAsia="Tahoma" w:hAnsi="Tahoma" w:cs="Tahoma"/>
          <w:b/>
          <w:sz w:val="20"/>
          <w:szCs w:val="20"/>
        </w:rPr>
        <w:t>JUNIOR ACHIEVEMENT (JA), [</w:t>
      </w:r>
      <w:proofErr w:type="spellStart"/>
      <w:r>
        <w:rPr>
          <w:rFonts w:ascii="Tahoma" w:eastAsia="Tahoma" w:hAnsi="Tahoma" w:cs="Tahoma"/>
          <w:b/>
          <w:sz w:val="20"/>
          <w:szCs w:val="20"/>
        </w:rPr>
        <w:t>džúnijr</w:t>
      </w:r>
      <w:proofErr w:type="spellEnd"/>
      <w:r>
        <w:rPr>
          <w:rFonts w:ascii="Tahoma" w:eastAsia="Tahoma" w:hAnsi="Tahoma" w:cs="Tahoma"/>
          <w:b/>
          <w:sz w:val="20"/>
          <w:szCs w:val="20"/>
        </w:rPr>
        <w:t xml:space="preserve"> </w:t>
      </w:r>
      <w:proofErr w:type="spellStart"/>
      <w:r>
        <w:rPr>
          <w:rFonts w:ascii="Tahoma" w:eastAsia="Tahoma" w:hAnsi="Tahoma" w:cs="Tahoma"/>
          <w:b/>
          <w:sz w:val="20"/>
          <w:szCs w:val="20"/>
        </w:rPr>
        <w:t>əčívmənt</w:t>
      </w:r>
      <w:proofErr w:type="spellEnd"/>
      <w:r>
        <w:rPr>
          <w:rFonts w:ascii="Tahoma" w:eastAsia="Tahoma" w:hAnsi="Tahoma" w:cs="Tahoma"/>
          <w:b/>
          <w:sz w:val="20"/>
          <w:szCs w:val="20"/>
        </w:rPr>
        <w:t xml:space="preserve">], </w:t>
      </w:r>
      <w:hyperlink r:id="rId9">
        <w:r w:rsidR="00DF4291">
          <w:rPr>
            <w:rStyle w:val="Hypertextovodkaz"/>
            <w:rFonts w:ascii="Tahoma" w:eastAsia="Tahoma" w:hAnsi="Tahoma" w:cs="Tahoma"/>
            <w:b/>
            <w:sz w:val="20"/>
            <w:szCs w:val="20"/>
          </w:rPr>
          <w:t>www.juniorachievement.org</w:t>
        </w:r>
      </w:hyperlink>
      <w:r>
        <w:rPr>
          <w:rFonts w:ascii="Tahoma" w:eastAsia="Tahoma" w:hAnsi="Tahoma" w:cs="Tahoma"/>
          <w:b/>
          <w:sz w:val="20"/>
          <w:szCs w:val="20"/>
        </w:rPr>
        <w:t xml:space="preserve"> </w:t>
      </w:r>
    </w:p>
    <w:p w14:paraId="4985F707" w14:textId="77777777" w:rsidR="00DF4291" w:rsidRDefault="00000000">
      <w:pPr>
        <w:jc w:val="both"/>
      </w:pPr>
      <w:r>
        <w:rPr>
          <w:rFonts w:ascii="Tahoma" w:eastAsia="Tahoma" w:hAnsi="Tahoma" w:cs="Tahoma"/>
          <w:b/>
          <w:sz w:val="18"/>
          <w:szCs w:val="18"/>
        </w:rPr>
        <w:t xml:space="preserve">Junior </w:t>
      </w:r>
      <w:proofErr w:type="spellStart"/>
      <w:r>
        <w:rPr>
          <w:rFonts w:ascii="Tahoma" w:eastAsia="Tahoma" w:hAnsi="Tahoma" w:cs="Tahoma"/>
          <w:b/>
          <w:sz w:val="18"/>
          <w:szCs w:val="18"/>
        </w:rPr>
        <w:t>Achievement</w:t>
      </w:r>
      <w:proofErr w:type="spellEnd"/>
      <w:r>
        <w:rPr>
          <w:rFonts w:ascii="Tahoma" w:eastAsia="Tahoma" w:hAnsi="Tahoma" w:cs="Tahoma"/>
          <w:bCs/>
          <w:sz w:val="18"/>
          <w:szCs w:val="18"/>
        </w:rPr>
        <w:t xml:space="preserve"> je nejstarší vzdělávací organizace na světě s rokem vzniku 1919. Působí ve více než 120 zemích světa. Zároveň byla švýcarskou institucí NGO Advisor vyhlášena jako sedmá nejvlivnější nevládní organizace světa a v lednu 2022 byla za svou práci pro rozvoj mládeže nominována na Nobelovu cenu míru. Do programů JA se každoročně zapojí 11 milionů dětí a studentů ve věku šest až 22 let.</w:t>
      </w:r>
    </w:p>
    <w:p w14:paraId="3362A355" w14:textId="77777777" w:rsidR="00DF4291" w:rsidRDefault="00000000">
      <w:pPr>
        <w:jc w:val="both"/>
        <w:rPr>
          <w:rFonts w:ascii="Tahoma" w:eastAsia="Tahoma" w:hAnsi="Tahoma" w:cs="Tahoma"/>
          <w:b/>
          <w:sz w:val="20"/>
          <w:szCs w:val="20"/>
        </w:rPr>
      </w:pPr>
      <w:r>
        <w:rPr>
          <w:rFonts w:ascii="Tahoma" w:eastAsia="Tahoma" w:hAnsi="Tahoma" w:cs="Tahoma"/>
          <w:b/>
          <w:sz w:val="20"/>
          <w:szCs w:val="20"/>
        </w:rPr>
        <w:t>JA CZECH [</w:t>
      </w:r>
      <w:proofErr w:type="spellStart"/>
      <w:r>
        <w:rPr>
          <w:rFonts w:ascii="Tahoma" w:eastAsia="Tahoma" w:hAnsi="Tahoma" w:cs="Tahoma"/>
          <w:b/>
          <w:sz w:val="20"/>
          <w:szCs w:val="20"/>
        </w:rPr>
        <w:t>džej</w:t>
      </w:r>
      <w:proofErr w:type="spellEnd"/>
      <w:r>
        <w:rPr>
          <w:rFonts w:ascii="Tahoma" w:eastAsia="Tahoma" w:hAnsi="Tahoma" w:cs="Tahoma"/>
          <w:b/>
          <w:sz w:val="20"/>
          <w:szCs w:val="20"/>
        </w:rPr>
        <w:t xml:space="preserve"> ej </w:t>
      </w:r>
      <w:proofErr w:type="spellStart"/>
      <w:r>
        <w:rPr>
          <w:rFonts w:ascii="Tahoma" w:eastAsia="Tahoma" w:hAnsi="Tahoma" w:cs="Tahoma"/>
          <w:b/>
          <w:sz w:val="20"/>
          <w:szCs w:val="20"/>
        </w:rPr>
        <w:t>ček</w:t>
      </w:r>
      <w:proofErr w:type="spellEnd"/>
      <w:r>
        <w:rPr>
          <w:rFonts w:ascii="Tahoma" w:eastAsia="Tahoma" w:hAnsi="Tahoma" w:cs="Tahoma"/>
          <w:b/>
          <w:sz w:val="20"/>
          <w:szCs w:val="20"/>
        </w:rPr>
        <w:t xml:space="preserve">], </w:t>
      </w:r>
      <w:hyperlink r:id="rId10">
        <w:r w:rsidR="00DF4291">
          <w:rPr>
            <w:rStyle w:val="Hypertextovodkaz"/>
            <w:rFonts w:ascii="Tahoma" w:eastAsia="Tahoma" w:hAnsi="Tahoma" w:cs="Tahoma"/>
            <w:b/>
            <w:sz w:val="20"/>
            <w:szCs w:val="20"/>
          </w:rPr>
          <w:t>www.jaczech.org</w:t>
        </w:r>
      </w:hyperlink>
    </w:p>
    <w:p w14:paraId="6A20BAE9" w14:textId="77777777" w:rsidR="00DF4291" w:rsidRDefault="00000000">
      <w:pPr>
        <w:jc w:val="both"/>
        <w:rPr>
          <w:rFonts w:ascii="Tahoma" w:eastAsia="Tahoma" w:hAnsi="Tahoma" w:cs="Tahoma"/>
          <w:bCs/>
          <w:sz w:val="18"/>
          <w:szCs w:val="18"/>
        </w:rPr>
      </w:pPr>
      <w:r>
        <w:rPr>
          <w:rFonts w:ascii="Tahoma" w:eastAsia="Tahoma" w:hAnsi="Tahoma" w:cs="Tahoma"/>
          <w:b/>
          <w:sz w:val="18"/>
          <w:szCs w:val="18"/>
        </w:rPr>
        <w:t>JA Czech</w:t>
      </w:r>
      <w:r>
        <w:rPr>
          <w:rFonts w:ascii="Tahoma" w:eastAsia="Tahoma" w:hAnsi="Tahoma" w:cs="Tahoma"/>
          <w:bCs/>
          <w:sz w:val="18"/>
          <w:szCs w:val="18"/>
        </w:rPr>
        <w:t xml:space="preserve"> je obecně prospěšná vzdělávací organizace založená Tomášem Baťou, která již od roku 1992 realizuje na českých školách ucelenou koncepci nadstandardního vzdělávání. Formuje podnikatelské myšlení a finanční gramotnost mladých lidí, propojuje je s lidmi z praxe a pomáhá nastartovat jejich úspěšnou profesní kariéru. Ve spolupráci se školami vytváří příznivé a motivující prostředí pro rozvoj osobních dovedností v rámci podnikatelského vzdělávání studentů i učitelů. Stěžejního projektu JA Studentská firma, se závěrečným veletrhem JA STUDENTSKÁ FIRMA ROKU, se každoročně účastní tisíce středoškoláků.</w:t>
      </w:r>
    </w:p>
    <w:sectPr w:rsidR="00DF429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68DA4" w14:textId="77777777" w:rsidR="00DD1BA1" w:rsidRDefault="00DD1BA1">
      <w:pPr>
        <w:spacing w:after="0" w:line="240" w:lineRule="auto"/>
      </w:pPr>
      <w:r>
        <w:separator/>
      </w:r>
    </w:p>
  </w:endnote>
  <w:endnote w:type="continuationSeparator" w:id="0">
    <w:p w14:paraId="37DA1906" w14:textId="77777777" w:rsidR="00DD1BA1" w:rsidRDefault="00DD1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rlito">
    <w:altName w:val="Calibri"/>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1A5B" w14:textId="77777777" w:rsidR="00DF4291" w:rsidRDefault="00DF429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CB96" w14:textId="77777777" w:rsidR="00DF4291" w:rsidRDefault="00DF4291">
    <w:pPr>
      <w:tabs>
        <w:tab w:val="center" w:pos="4536"/>
        <w:tab w:val="right" w:pos="9072"/>
      </w:tabs>
      <w:spacing w:after="0" w:line="240" w:lineRule="auto"/>
    </w:pPr>
  </w:p>
  <w:p w14:paraId="331E0CF7" w14:textId="77777777" w:rsidR="00DF4291" w:rsidRDefault="00DF4291">
    <w:pPr>
      <w:tabs>
        <w:tab w:val="center" w:pos="4536"/>
        <w:tab w:val="right" w:pos="9072"/>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86B6" w14:textId="77777777" w:rsidR="00DF4291" w:rsidRDefault="00DF4291">
    <w:pPr>
      <w:tabs>
        <w:tab w:val="center" w:pos="4536"/>
        <w:tab w:val="right" w:pos="9072"/>
      </w:tabs>
      <w:spacing w:after="0" w:line="240" w:lineRule="auto"/>
    </w:pPr>
  </w:p>
  <w:p w14:paraId="26D2DA65" w14:textId="77777777" w:rsidR="00DF4291" w:rsidRDefault="00DF4291">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5C6FF" w14:textId="77777777" w:rsidR="00DD1BA1" w:rsidRDefault="00DD1BA1">
      <w:pPr>
        <w:spacing w:after="0" w:line="240" w:lineRule="auto"/>
      </w:pPr>
      <w:r>
        <w:separator/>
      </w:r>
    </w:p>
  </w:footnote>
  <w:footnote w:type="continuationSeparator" w:id="0">
    <w:p w14:paraId="219002A7" w14:textId="77777777" w:rsidR="00DD1BA1" w:rsidRDefault="00DD1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DF95" w14:textId="77777777" w:rsidR="00DF4291" w:rsidRDefault="00DF429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2F88" w14:textId="77777777" w:rsidR="00DF4291" w:rsidRDefault="00000000">
    <w:pPr>
      <w:tabs>
        <w:tab w:val="left" w:pos="3615"/>
        <w:tab w:val="left" w:pos="5954"/>
      </w:tabs>
      <w:spacing w:after="0" w:line="240" w:lineRule="auto"/>
      <w:rPr>
        <w:b/>
        <w:sz w:val="36"/>
        <w:szCs w:val="36"/>
      </w:rPr>
    </w:pPr>
    <w:r>
      <w:rPr>
        <w:noProof/>
      </w:rPr>
      <w:drawing>
        <wp:anchor distT="0" distB="0" distL="114300" distR="114300" simplePos="0" relativeHeight="251657216" behindDoc="1" locked="0" layoutInCell="0" allowOverlap="1" wp14:anchorId="17E414F1" wp14:editId="2404152E">
          <wp:simplePos x="0" y="0"/>
          <wp:positionH relativeFrom="margin">
            <wp:posOffset>-445135</wp:posOffset>
          </wp:positionH>
          <wp:positionV relativeFrom="margin">
            <wp:posOffset>-1069340</wp:posOffset>
          </wp:positionV>
          <wp:extent cx="1485900" cy="85598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a:picLocks noChangeAspect="1" noChangeArrowheads="1"/>
                  </pic:cNvPicPr>
                </pic:nvPicPr>
                <pic:blipFill>
                  <a:blip r:embed="rId1"/>
                  <a:stretch>
                    <a:fillRect/>
                  </a:stretch>
                </pic:blipFill>
                <pic:spPr bwMode="auto">
                  <a:xfrm>
                    <a:off x="0" y="0"/>
                    <a:ext cx="1485900" cy="855980"/>
                  </a:xfrm>
                  <a:prstGeom prst="rect">
                    <a:avLst/>
                  </a:prstGeom>
                  <a:noFill/>
                </pic:spPr>
              </pic:pic>
            </a:graphicData>
          </a:graphic>
        </wp:anchor>
      </w:drawing>
    </w:r>
    <w:r>
      <w:rPr>
        <w:b/>
        <w:sz w:val="36"/>
        <w:szCs w:val="36"/>
      </w:rPr>
      <w:tab/>
    </w:r>
    <w:r>
      <w:rPr>
        <w:b/>
        <w:sz w:val="36"/>
        <w:szCs w:val="36"/>
      </w:rPr>
      <w:tab/>
      <w:t>TISKOVÁ ZPRÁVA</w:t>
    </w:r>
  </w:p>
  <w:p w14:paraId="6FDC58E2" w14:textId="77777777" w:rsidR="00DF4291" w:rsidRDefault="00DF4291">
    <w:pPr>
      <w:tabs>
        <w:tab w:val="left" w:pos="3615"/>
        <w:tab w:val="left" w:pos="5954"/>
      </w:tabs>
      <w:spacing w:after="0" w:line="240" w:lineRule="auto"/>
      <w:jc w:val="right"/>
      <w:rPr>
        <w:b/>
        <w:sz w:val="36"/>
        <w:szCs w:val="36"/>
      </w:rPr>
    </w:pPr>
  </w:p>
  <w:p w14:paraId="734AC631" w14:textId="77777777" w:rsidR="00DF4291" w:rsidRDefault="00DF4291">
    <w:pPr>
      <w:tabs>
        <w:tab w:val="left" w:pos="3615"/>
        <w:tab w:val="left" w:pos="5954"/>
      </w:tabs>
      <w:spacing w:after="0" w:line="240" w:lineRule="auto"/>
      <w:jc w:val="right"/>
      <w:rPr>
        <w:b/>
        <w:sz w:val="2"/>
        <w:szCs w:val="2"/>
      </w:rPr>
    </w:pPr>
  </w:p>
  <w:p w14:paraId="16A23BD1" w14:textId="77777777" w:rsidR="00DF4291" w:rsidRDefault="00DF4291">
    <w:pPr>
      <w:tabs>
        <w:tab w:val="left" w:pos="3615"/>
      </w:tabs>
      <w:spacing w:after="0" w:line="240" w:lineRule="auto"/>
      <w:jc w:val="both"/>
      <w:rPr>
        <w:b/>
        <w:sz w:val="2"/>
        <w:szCs w:val="2"/>
      </w:rPr>
    </w:pPr>
  </w:p>
  <w:p w14:paraId="68DD77B2" w14:textId="77777777" w:rsidR="00DF4291" w:rsidRDefault="00DF4291">
    <w:pPr>
      <w:tabs>
        <w:tab w:val="left" w:pos="3615"/>
      </w:tabs>
      <w:spacing w:after="0" w:line="240" w:lineRule="auto"/>
      <w:jc w:val="both"/>
      <w:rPr>
        <w:b/>
        <w:sz w:val="2"/>
        <w:szCs w:val="2"/>
      </w:rPr>
    </w:pPr>
  </w:p>
  <w:p w14:paraId="1345DF67" w14:textId="77777777" w:rsidR="00DF4291" w:rsidRDefault="00DF4291">
    <w:pPr>
      <w:tabs>
        <w:tab w:val="left" w:pos="3615"/>
      </w:tabs>
      <w:spacing w:after="0" w:line="240" w:lineRule="auto"/>
      <w:jc w:val="both"/>
      <w:rPr>
        <w:b/>
        <w:sz w:val="2"/>
        <w:szCs w:val="2"/>
      </w:rPr>
    </w:pPr>
  </w:p>
  <w:p w14:paraId="7A982FEE" w14:textId="77777777" w:rsidR="00DF4291" w:rsidRDefault="00DF4291">
    <w:pPr>
      <w:tabs>
        <w:tab w:val="left" w:pos="3615"/>
      </w:tabs>
      <w:spacing w:after="0" w:line="240" w:lineRule="auto"/>
      <w:jc w:val="both"/>
      <w:rPr>
        <w:b/>
        <w:sz w:val="2"/>
        <w:szCs w:val="2"/>
      </w:rPr>
    </w:pPr>
  </w:p>
  <w:p w14:paraId="3B73C289" w14:textId="77777777" w:rsidR="00DF4291" w:rsidRDefault="00DF4291">
    <w:pPr>
      <w:tabs>
        <w:tab w:val="left" w:pos="3615"/>
      </w:tabs>
      <w:spacing w:after="0" w:line="240" w:lineRule="auto"/>
      <w:jc w:val="both"/>
      <w:rPr>
        <w:b/>
        <w:sz w:val="2"/>
        <w:szCs w:val="2"/>
      </w:rPr>
    </w:pPr>
  </w:p>
  <w:p w14:paraId="62FACC06" w14:textId="77777777" w:rsidR="00DF4291" w:rsidRDefault="00DF4291">
    <w:pPr>
      <w:tabs>
        <w:tab w:val="left" w:pos="3615"/>
      </w:tabs>
      <w:spacing w:after="0" w:line="240" w:lineRule="auto"/>
      <w:jc w:val="both"/>
      <w:rPr>
        <w:b/>
        <w:sz w:val="2"/>
        <w:szCs w:val="2"/>
      </w:rPr>
    </w:pPr>
  </w:p>
  <w:p w14:paraId="4A71DC3E" w14:textId="77777777" w:rsidR="00DF4291" w:rsidRDefault="00DF4291">
    <w:pPr>
      <w:tabs>
        <w:tab w:val="left" w:pos="3615"/>
      </w:tabs>
      <w:spacing w:after="0" w:line="240" w:lineRule="auto"/>
      <w:jc w:val="both"/>
      <w:rPr>
        <w:b/>
        <w:sz w:val="2"/>
        <w:szCs w:val="2"/>
      </w:rPr>
    </w:pPr>
  </w:p>
  <w:p w14:paraId="0D1B1D1B" w14:textId="77777777" w:rsidR="00DF4291" w:rsidRDefault="00DF4291">
    <w:pPr>
      <w:tabs>
        <w:tab w:val="left" w:pos="3615"/>
      </w:tabs>
      <w:spacing w:after="0" w:line="240" w:lineRule="auto"/>
      <w:jc w:val="both"/>
      <w:rPr>
        <w:b/>
        <w:sz w:val="2"/>
        <w:szCs w:val="2"/>
      </w:rPr>
    </w:pPr>
  </w:p>
  <w:p w14:paraId="64383B78" w14:textId="77777777" w:rsidR="00DF4291" w:rsidRDefault="00DF4291">
    <w:pPr>
      <w:tabs>
        <w:tab w:val="left" w:pos="3615"/>
      </w:tabs>
      <w:spacing w:after="0" w:line="240" w:lineRule="auto"/>
      <w:jc w:val="both"/>
      <w:rPr>
        <w:b/>
        <w:sz w:val="2"/>
        <w:szCs w:val="2"/>
      </w:rPr>
    </w:pPr>
  </w:p>
  <w:p w14:paraId="5C4E604E" w14:textId="77777777" w:rsidR="00DF4291" w:rsidRDefault="00DF4291">
    <w:pPr>
      <w:tabs>
        <w:tab w:val="left" w:pos="3615"/>
      </w:tabs>
      <w:spacing w:after="0" w:line="240" w:lineRule="auto"/>
      <w:jc w:val="both"/>
      <w:rPr>
        <w:b/>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52E8" w14:textId="77777777" w:rsidR="00DF4291" w:rsidRDefault="00000000">
    <w:pPr>
      <w:tabs>
        <w:tab w:val="left" w:pos="3615"/>
        <w:tab w:val="left" w:pos="5954"/>
      </w:tabs>
      <w:spacing w:after="0" w:line="240" w:lineRule="auto"/>
      <w:rPr>
        <w:b/>
        <w:sz w:val="36"/>
        <w:szCs w:val="36"/>
      </w:rPr>
    </w:pPr>
    <w:r>
      <w:rPr>
        <w:noProof/>
      </w:rPr>
      <w:drawing>
        <wp:anchor distT="0" distB="0" distL="114300" distR="114300" simplePos="0" relativeHeight="251658240" behindDoc="1" locked="0" layoutInCell="0" allowOverlap="1" wp14:anchorId="4BAD3EF5" wp14:editId="50550E27">
          <wp:simplePos x="0" y="0"/>
          <wp:positionH relativeFrom="margin">
            <wp:posOffset>-445135</wp:posOffset>
          </wp:positionH>
          <wp:positionV relativeFrom="margin">
            <wp:posOffset>-1069340</wp:posOffset>
          </wp:positionV>
          <wp:extent cx="1485900" cy="855980"/>
          <wp:effectExtent l="0" t="0" r="0" b="0"/>
          <wp:wrapSquare wrapText="bothSides"/>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pic:cNvPicPr>
                    <a:picLocks noChangeAspect="1" noChangeArrowheads="1"/>
                  </pic:cNvPicPr>
                </pic:nvPicPr>
                <pic:blipFill>
                  <a:blip r:embed="rId1"/>
                  <a:stretch>
                    <a:fillRect/>
                  </a:stretch>
                </pic:blipFill>
                <pic:spPr bwMode="auto">
                  <a:xfrm>
                    <a:off x="0" y="0"/>
                    <a:ext cx="1485900" cy="855980"/>
                  </a:xfrm>
                  <a:prstGeom prst="rect">
                    <a:avLst/>
                  </a:prstGeom>
                  <a:noFill/>
                </pic:spPr>
              </pic:pic>
            </a:graphicData>
          </a:graphic>
        </wp:anchor>
      </w:drawing>
    </w:r>
    <w:r>
      <w:rPr>
        <w:b/>
        <w:sz w:val="36"/>
        <w:szCs w:val="36"/>
      </w:rPr>
      <w:tab/>
    </w:r>
    <w:r>
      <w:rPr>
        <w:b/>
        <w:sz w:val="36"/>
        <w:szCs w:val="36"/>
      </w:rPr>
      <w:tab/>
      <w:t>TISKOVÁ ZPRÁVA</w:t>
    </w:r>
  </w:p>
  <w:p w14:paraId="27966307" w14:textId="77777777" w:rsidR="00DF4291" w:rsidRDefault="00DF4291">
    <w:pPr>
      <w:tabs>
        <w:tab w:val="left" w:pos="3615"/>
        <w:tab w:val="left" w:pos="5954"/>
      </w:tabs>
      <w:spacing w:after="0" w:line="240" w:lineRule="auto"/>
      <w:jc w:val="right"/>
      <w:rPr>
        <w:b/>
        <w:sz w:val="36"/>
        <w:szCs w:val="36"/>
      </w:rPr>
    </w:pPr>
  </w:p>
  <w:p w14:paraId="4F61C7BA" w14:textId="77777777" w:rsidR="00DF4291" w:rsidRDefault="00DF4291">
    <w:pPr>
      <w:tabs>
        <w:tab w:val="left" w:pos="3615"/>
        <w:tab w:val="left" w:pos="5954"/>
      </w:tabs>
      <w:spacing w:after="0" w:line="240" w:lineRule="auto"/>
      <w:jc w:val="right"/>
      <w:rPr>
        <w:b/>
        <w:sz w:val="2"/>
        <w:szCs w:val="2"/>
      </w:rPr>
    </w:pPr>
  </w:p>
  <w:p w14:paraId="75380FA5" w14:textId="77777777" w:rsidR="00DF4291" w:rsidRDefault="00DF4291">
    <w:pPr>
      <w:tabs>
        <w:tab w:val="left" w:pos="3615"/>
      </w:tabs>
      <w:spacing w:after="0" w:line="240" w:lineRule="auto"/>
      <w:jc w:val="both"/>
      <w:rPr>
        <w:b/>
        <w:sz w:val="2"/>
        <w:szCs w:val="2"/>
      </w:rPr>
    </w:pPr>
  </w:p>
  <w:p w14:paraId="02BD2E6C" w14:textId="77777777" w:rsidR="00DF4291" w:rsidRDefault="00DF4291">
    <w:pPr>
      <w:tabs>
        <w:tab w:val="left" w:pos="3615"/>
      </w:tabs>
      <w:spacing w:after="0" w:line="240" w:lineRule="auto"/>
      <w:jc w:val="both"/>
      <w:rPr>
        <w:b/>
        <w:sz w:val="2"/>
        <w:szCs w:val="2"/>
      </w:rPr>
    </w:pPr>
  </w:p>
  <w:p w14:paraId="2EAA93EB" w14:textId="77777777" w:rsidR="00DF4291" w:rsidRDefault="00DF4291">
    <w:pPr>
      <w:tabs>
        <w:tab w:val="left" w:pos="3615"/>
      </w:tabs>
      <w:spacing w:after="0" w:line="240" w:lineRule="auto"/>
      <w:jc w:val="both"/>
      <w:rPr>
        <w:b/>
        <w:sz w:val="2"/>
        <w:szCs w:val="2"/>
      </w:rPr>
    </w:pPr>
  </w:p>
  <w:p w14:paraId="60F95811" w14:textId="77777777" w:rsidR="00DF4291" w:rsidRDefault="00DF4291">
    <w:pPr>
      <w:tabs>
        <w:tab w:val="left" w:pos="3615"/>
      </w:tabs>
      <w:spacing w:after="0" w:line="240" w:lineRule="auto"/>
      <w:jc w:val="both"/>
      <w:rPr>
        <w:b/>
        <w:sz w:val="2"/>
        <w:szCs w:val="2"/>
      </w:rPr>
    </w:pPr>
  </w:p>
  <w:p w14:paraId="58B46FC6" w14:textId="77777777" w:rsidR="00DF4291" w:rsidRDefault="00DF4291">
    <w:pPr>
      <w:tabs>
        <w:tab w:val="left" w:pos="3615"/>
      </w:tabs>
      <w:spacing w:after="0" w:line="240" w:lineRule="auto"/>
      <w:jc w:val="both"/>
      <w:rPr>
        <w:b/>
        <w:sz w:val="2"/>
        <w:szCs w:val="2"/>
      </w:rPr>
    </w:pPr>
  </w:p>
  <w:p w14:paraId="1D30D27A" w14:textId="77777777" w:rsidR="00DF4291" w:rsidRDefault="00DF4291">
    <w:pPr>
      <w:tabs>
        <w:tab w:val="left" w:pos="3615"/>
      </w:tabs>
      <w:spacing w:after="0" w:line="240" w:lineRule="auto"/>
      <w:jc w:val="both"/>
      <w:rPr>
        <w:b/>
        <w:sz w:val="2"/>
        <w:szCs w:val="2"/>
      </w:rPr>
    </w:pPr>
  </w:p>
  <w:p w14:paraId="75075A19" w14:textId="77777777" w:rsidR="00DF4291" w:rsidRDefault="00DF4291">
    <w:pPr>
      <w:tabs>
        <w:tab w:val="left" w:pos="3615"/>
      </w:tabs>
      <w:spacing w:after="0" w:line="240" w:lineRule="auto"/>
      <w:jc w:val="both"/>
      <w:rPr>
        <w:b/>
        <w:sz w:val="2"/>
        <w:szCs w:val="2"/>
      </w:rPr>
    </w:pPr>
  </w:p>
  <w:p w14:paraId="361871BC" w14:textId="77777777" w:rsidR="00DF4291" w:rsidRDefault="00DF4291">
    <w:pPr>
      <w:tabs>
        <w:tab w:val="left" w:pos="3615"/>
      </w:tabs>
      <w:spacing w:after="0" w:line="240" w:lineRule="auto"/>
      <w:jc w:val="both"/>
      <w:rPr>
        <w:b/>
        <w:sz w:val="2"/>
        <w:szCs w:val="2"/>
      </w:rPr>
    </w:pPr>
  </w:p>
  <w:p w14:paraId="62D00E7D" w14:textId="77777777" w:rsidR="00DF4291" w:rsidRDefault="00DF4291">
    <w:pPr>
      <w:tabs>
        <w:tab w:val="left" w:pos="3615"/>
      </w:tabs>
      <w:spacing w:after="0" w:line="240" w:lineRule="auto"/>
      <w:jc w:val="both"/>
      <w:rPr>
        <w:b/>
        <w:sz w:val="2"/>
        <w:szCs w:val="2"/>
      </w:rPr>
    </w:pPr>
  </w:p>
  <w:p w14:paraId="62C8BF67" w14:textId="77777777" w:rsidR="00DF4291" w:rsidRDefault="00DF4291">
    <w:pPr>
      <w:tabs>
        <w:tab w:val="left" w:pos="3615"/>
      </w:tabs>
      <w:spacing w:after="0" w:line="240" w:lineRule="auto"/>
      <w:jc w:val="both"/>
      <w:rPr>
        <w:b/>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291"/>
    <w:rsid w:val="001D3654"/>
    <w:rsid w:val="00286189"/>
    <w:rsid w:val="008165E9"/>
    <w:rsid w:val="00DD1BA1"/>
    <w:rsid w:val="00DF4291"/>
    <w:rsid w:val="00E177F6"/>
    <w:rsid w:val="00E60F41"/>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11581"/>
  <w15:docId w15:val="{AB878307-0B69-4BCC-8E9E-07CCB2AE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rsid w:val="00996B67"/>
  </w:style>
  <w:style w:type="character" w:customStyle="1" w:styleId="ZpatChar">
    <w:name w:val="Zápatí Char"/>
    <w:basedOn w:val="Standardnpsmoodstavce"/>
    <w:link w:val="Zpat"/>
    <w:uiPriority w:val="99"/>
    <w:rsid w:val="00996B67"/>
  </w:style>
  <w:style w:type="character" w:styleId="Hypertextovodkaz">
    <w:name w:val="Hyperlink"/>
    <w:basedOn w:val="Standardnpsmoodstavce"/>
    <w:uiPriority w:val="99"/>
    <w:unhideWhenUsed/>
    <w:rsid w:val="00280A60"/>
    <w:rPr>
      <w:color w:val="0000FF" w:themeColor="hyperlink"/>
      <w:u w:val="single"/>
    </w:rPr>
  </w:style>
  <w:style w:type="character" w:customStyle="1" w:styleId="Nevyeenzmnka1">
    <w:name w:val="Nevyřešená zmínka1"/>
    <w:basedOn w:val="Standardnpsmoodstavce"/>
    <w:uiPriority w:val="99"/>
    <w:semiHidden/>
    <w:unhideWhenUsed/>
    <w:rsid w:val="00280A60"/>
    <w:rPr>
      <w:color w:val="605E5C"/>
      <w:shd w:val="clear" w:color="auto" w:fill="E1DFDD"/>
    </w:rPr>
  </w:style>
  <w:style w:type="character" w:styleId="Sledovanodkaz">
    <w:name w:val="FollowedHyperlink"/>
    <w:basedOn w:val="Standardnpsmoodstavce"/>
    <w:uiPriority w:val="99"/>
    <w:semiHidden/>
    <w:unhideWhenUsed/>
    <w:rsid w:val="00023C3C"/>
    <w:rPr>
      <w:color w:val="800080" w:themeColor="followedHyperlink"/>
      <w:u w:val="single"/>
    </w:rPr>
  </w:style>
  <w:style w:type="character" w:styleId="Odkaznakoment">
    <w:name w:val="annotation reference"/>
    <w:basedOn w:val="Standardnpsmoodstavce"/>
    <w:uiPriority w:val="99"/>
    <w:semiHidden/>
    <w:unhideWhenUsed/>
    <w:rsid w:val="0069636B"/>
    <w:rPr>
      <w:sz w:val="16"/>
      <w:szCs w:val="16"/>
    </w:rPr>
  </w:style>
  <w:style w:type="character" w:customStyle="1" w:styleId="TextkomenteChar">
    <w:name w:val="Text komentáře Char"/>
    <w:basedOn w:val="Standardnpsmoodstavce"/>
    <w:link w:val="Textkomente"/>
    <w:uiPriority w:val="99"/>
    <w:semiHidden/>
    <w:rsid w:val="0069636B"/>
    <w:rPr>
      <w:sz w:val="20"/>
      <w:szCs w:val="20"/>
    </w:rPr>
  </w:style>
  <w:style w:type="character" w:customStyle="1" w:styleId="PedmtkomenteChar">
    <w:name w:val="Předmět komentáře Char"/>
    <w:basedOn w:val="TextkomenteChar"/>
    <w:link w:val="Pedmtkomente"/>
    <w:uiPriority w:val="99"/>
    <w:semiHidden/>
    <w:rsid w:val="0069636B"/>
    <w:rPr>
      <w:b/>
      <w:bCs/>
      <w:sz w:val="20"/>
      <w:szCs w:val="20"/>
    </w:rPr>
  </w:style>
  <w:style w:type="character" w:customStyle="1" w:styleId="TextbublinyChar">
    <w:name w:val="Text bubliny Char"/>
    <w:basedOn w:val="Standardnpsmoodstavce"/>
    <w:link w:val="Textbubliny"/>
    <w:uiPriority w:val="99"/>
    <w:semiHidden/>
    <w:rsid w:val="0069636B"/>
    <w:rPr>
      <w:rFonts w:ascii="Segoe UI" w:hAnsi="Segoe UI" w:cs="Segoe UI"/>
      <w:sz w:val="18"/>
      <w:szCs w:val="18"/>
    </w:rPr>
  </w:style>
  <w:style w:type="character" w:styleId="Zdraznn">
    <w:name w:val="Emphasis"/>
    <w:basedOn w:val="Standardnpsmoodstavce"/>
    <w:uiPriority w:val="20"/>
    <w:qFormat/>
    <w:rsid w:val="00C22209"/>
    <w:rPr>
      <w:i/>
      <w:iCs/>
    </w:rPr>
  </w:style>
  <w:style w:type="character" w:customStyle="1" w:styleId="Nevyeenzmnka2">
    <w:name w:val="Nevyřešená zmínka2"/>
    <w:basedOn w:val="Standardnpsmoodstavce"/>
    <w:uiPriority w:val="99"/>
    <w:semiHidden/>
    <w:unhideWhenUsed/>
    <w:rsid w:val="00516819"/>
    <w:rPr>
      <w:color w:val="605E5C"/>
      <w:shd w:val="clear" w:color="auto" w:fill="E1DFDD"/>
    </w:rPr>
  </w:style>
  <w:style w:type="character" w:customStyle="1" w:styleId="Nevyeenzmnka3">
    <w:name w:val="Nevyřešená zmínka3"/>
    <w:basedOn w:val="Standardnpsmoodstavce"/>
    <w:uiPriority w:val="99"/>
    <w:semiHidden/>
    <w:unhideWhenUsed/>
    <w:rsid w:val="001F6934"/>
    <w:rPr>
      <w:color w:val="605E5C"/>
      <w:shd w:val="clear" w:color="auto" w:fill="E1DFDD"/>
    </w:rPr>
  </w:style>
  <w:style w:type="character" w:customStyle="1" w:styleId="Nevyeenzmnka4">
    <w:name w:val="Nevyřešená zmínka4"/>
    <w:basedOn w:val="Standardnpsmoodstavce"/>
    <w:uiPriority w:val="99"/>
    <w:semiHidden/>
    <w:unhideWhenUsed/>
    <w:rsid w:val="006E5FBD"/>
    <w:rPr>
      <w:color w:val="605E5C"/>
      <w:shd w:val="clear" w:color="auto" w:fill="E1DFDD"/>
    </w:rPr>
  </w:style>
  <w:style w:type="character" w:styleId="Nevyeenzmnka">
    <w:name w:val="Unresolved Mention"/>
    <w:basedOn w:val="Standardnpsmoodstavce"/>
    <w:uiPriority w:val="99"/>
    <w:semiHidden/>
    <w:unhideWhenUsed/>
    <w:rsid w:val="00A4628E"/>
    <w:rPr>
      <w:color w:val="605E5C"/>
      <w:shd w:val="clear" w:color="auto" w:fill="E1DFDD"/>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ln"/>
  </w:style>
  <w:style w:type="paragraph" w:styleId="Zhlav">
    <w:name w:val="header"/>
    <w:basedOn w:val="Normln"/>
    <w:link w:val="ZhlavChar"/>
    <w:uiPriority w:val="99"/>
    <w:unhideWhenUsed/>
    <w:rsid w:val="00996B67"/>
    <w:pPr>
      <w:tabs>
        <w:tab w:val="center" w:pos="4536"/>
        <w:tab w:val="right" w:pos="9072"/>
      </w:tabs>
      <w:spacing w:after="0" w:line="240" w:lineRule="auto"/>
    </w:pPr>
  </w:style>
  <w:style w:type="paragraph" w:styleId="Zpat">
    <w:name w:val="footer"/>
    <w:basedOn w:val="Normln"/>
    <w:link w:val="ZpatChar"/>
    <w:uiPriority w:val="99"/>
    <w:unhideWhenUsed/>
    <w:rsid w:val="00996B67"/>
    <w:pPr>
      <w:tabs>
        <w:tab w:val="center" w:pos="4536"/>
        <w:tab w:val="right" w:pos="9072"/>
      </w:tabs>
      <w:spacing w:after="0" w:line="240" w:lineRule="auto"/>
    </w:pPr>
  </w:style>
  <w:style w:type="paragraph" w:styleId="Textkomente">
    <w:name w:val="annotation text"/>
    <w:basedOn w:val="Normln"/>
    <w:link w:val="TextkomenteChar"/>
    <w:uiPriority w:val="99"/>
    <w:semiHidden/>
    <w:unhideWhenUsed/>
    <w:rsid w:val="0069636B"/>
    <w:pPr>
      <w:spacing w:line="240" w:lineRule="auto"/>
    </w:pPr>
    <w:rPr>
      <w:sz w:val="20"/>
      <w:szCs w:val="20"/>
    </w:rPr>
  </w:style>
  <w:style w:type="paragraph" w:styleId="Pedmtkomente">
    <w:name w:val="annotation subject"/>
    <w:basedOn w:val="Textkomente"/>
    <w:next w:val="Textkomente"/>
    <w:link w:val="PedmtkomenteChar"/>
    <w:uiPriority w:val="99"/>
    <w:semiHidden/>
    <w:unhideWhenUsed/>
    <w:rsid w:val="0069636B"/>
    <w:rPr>
      <w:b/>
      <w:bCs/>
    </w:rPr>
  </w:style>
  <w:style w:type="paragraph" w:styleId="Revize">
    <w:name w:val="Revision"/>
    <w:uiPriority w:val="99"/>
    <w:semiHidden/>
    <w:rsid w:val="0069636B"/>
  </w:style>
  <w:style w:type="paragraph" w:styleId="Textbubliny">
    <w:name w:val="Balloon Text"/>
    <w:basedOn w:val="Normln"/>
    <w:link w:val="TextbublinyChar"/>
    <w:uiPriority w:val="99"/>
    <w:semiHidden/>
    <w:unhideWhenUsed/>
    <w:rsid w:val="0069636B"/>
    <w:pPr>
      <w:spacing w:after="0" w:line="240" w:lineRule="auto"/>
    </w:pPr>
    <w:rPr>
      <w:rFonts w:ascii="Segoe UI" w:hAnsi="Segoe UI" w:cs="Segoe UI"/>
      <w:sz w:val="18"/>
      <w:szCs w:val="18"/>
    </w:rPr>
  </w:style>
  <w:style w:type="paragraph" w:styleId="Odstavecseseznamem">
    <w:name w:val="List Paragraph"/>
    <w:basedOn w:val="Normln"/>
    <w:uiPriority w:val="34"/>
    <w:qFormat/>
    <w:rsid w:val="00997EEC"/>
    <w:pPr>
      <w:ind w:left="720"/>
      <w:contextualSpacing/>
    </w:pPr>
  </w:style>
  <w:style w:type="table" w:customStyle="1" w:styleId="TableNormal1">
    <w:name w:val="Table Normal1"/>
    <w:tblPr>
      <w:tblCellMar>
        <w:top w:w="0" w:type="dxa"/>
        <w:left w:w="0" w:type="dxa"/>
        <w:bottom w:w="0" w:type="dxa"/>
        <w:right w:w="0" w:type="dxa"/>
      </w:tblCellMar>
    </w:tblPr>
  </w:style>
  <w:style w:type="table" w:styleId="Mkatabulky">
    <w:name w:val="Table Grid"/>
    <w:basedOn w:val="Normlntabulka"/>
    <w:uiPriority w:val="39"/>
    <w:rsid w:val="00651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lisk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jaczech.org/" TargetMode="External"/><Relationship Id="rId4" Type="http://schemas.openxmlformats.org/officeDocument/2006/relationships/webSettings" Target="webSettings.xml"/><Relationship Id="rId9" Type="http://schemas.openxmlformats.org/officeDocument/2006/relationships/hyperlink" Target="http://www.juniorachievement.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44111-A9C0-7C47-8FC4-766299DA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739</Words>
  <Characters>4364</Characters>
  <Application>Microsoft Office Word</Application>
  <DocSecurity>0</DocSecurity>
  <Lines>36</Lines>
  <Paragraphs>10</Paragraphs>
  <ScaleCrop>false</ScaleCrop>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Eliška</dc:creator>
  <dc:description/>
  <cp:lastModifiedBy>eliska</cp:lastModifiedBy>
  <cp:revision>4</cp:revision>
  <cp:lastPrinted>2026-10-08T11:18:00Z</cp:lastPrinted>
  <dcterms:created xsi:type="dcterms:W3CDTF">2026-10-08T13:54:00Z</dcterms:created>
  <dcterms:modified xsi:type="dcterms:W3CDTF">2026-10-09T09:41:00Z</dcterms:modified>
  <dc:language>cs-CZ</dc:language>
</cp:coreProperties>
</file>