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D7E4" w14:textId="5AB45B66" w:rsidR="00DB7B9B" w:rsidRPr="00DB7B9B" w:rsidRDefault="00DB7B9B" w:rsidP="00DB7B9B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DB7B9B">
        <w:rPr>
          <w:rFonts w:ascii="Tahoma" w:eastAsia="Tahoma" w:hAnsi="Tahoma" w:cs="Tahoma"/>
          <w:b/>
          <w:sz w:val="36"/>
          <w:szCs w:val="36"/>
        </w:rPr>
        <w:t xml:space="preserve">Očkování proti koronaviru: </w:t>
      </w:r>
      <w:r>
        <w:rPr>
          <w:rFonts w:ascii="Tahoma" w:eastAsia="Tahoma" w:hAnsi="Tahoma" w:cs="Tahoma"/>
          <w:b/>
          <w:sz w:val="36"/>
          <w:szCs w:val="36"/>
        </w:rPr>
        <w:t>v</w:t>
      </w:r>
      <w:r w:rsidRPr="00DB7B9B">
        <w:rPr>
          <w:rFonts w:ascii="Tahoma" w:eastAsia="Tahoma" w:hAnsi="Tahoma" w:cs="Tahoma"/>
          <w:b/>
          <w:sz w:val="36"/>
          <w:szCs w:val="36"/>
        </w:rPr>
        <w:t>akcín je dost, vláda ale blokuje vznik menších očkovacích center</w:t>
      </w:r>
    </w:p>
    <w:p w14:paraId="18D7F619" w14:textId="5909A279" w:rsidR="00A42DCE" w:rsidRPr="00DB7B9B" w:rsidRDefault="009D7FBA" w:rsidP="0030018E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B7B9B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2632EF" w:rsidRPr="00DB7B9B">
        <w:rPr>
          <w:rFonts w:ascii="Tahoma" w:eastAsia="Tahoma" w:hAnsi="Tahoma" w:cs="Tahoma"/>
          <w:b/>
          <w:sz w:val="20"/>
          <w:szCs w:val="20"/>
        </w:rPr>
        <w:t>29</w:t>
      </w:r>
      <w:r w:rsidR="00CC2BF1" w:rsidRPr="00DB7B9B">
        <w:rPr>
          <w:rFonts w:ascii="Tahoma" w:eastAsia="Tahoma" w:hAnsi="Tahoma" w:cs="Tahoma"/>
          <w:b/>
          <w:sz w:val="20"/>
          <w:szCs w:val="20"/>
        </w:rPr>
        <w:t>.</w:t>
      </w:r>
      <w:r w:rsidRPr="00DB7B9B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2632EF" w:rsidRPr="00DB7B9B">
        <w:rPr>
          <w:rFonts w:ascii="Tahoma" w:eastAsia="Tahoma" w:hAnsi="Tahoma" w:cs="Tahoma"/>
          <w:b/>
          <w:sz w:val="20"/>
          <w:szCs w:val="20"/>
        </w:rPr>
        <w:t>DUBNA</w:t>
      </w:r>
      <w:r w:rsidR="00381AE4" w:rsidRPr="00DB7B9B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0A44B3" w:rsidRPr="00DB7B9B">
        <w:rPr>
          <w:rFonts w:ascii="Tahoma" w:eastAsia="Tahoma" w:hAnsi="Tahoma" w:cs="Tahoma"/>
          <w:b/>
          <w:sz w:val="20"/>
          <w:szCs w:val="20"/>
        </w:rPr>
        <w:t>1</w:t>
      </w:r>
      <w:r w:rsidRPr="00DB7B9B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FD449A" w:rsidRPr="00DB7B9B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42DCE" w:rsidRPr="00DB7B9B">
        <w:rPr>
          <w:rFonts w:ascii="Tahoma" w:eastAsia="Tahoma" w:hAnsi="Tahoma" w:cs="Tahoma"/>
          <w:b/>
          <w:sz w:val="20"/>
          <w:szCs w:val="20"/>
        </w:rPr>
        <w:t xml:space="preserve">Podle aktuálního vyjádření ministra zdravotnictví Petra Arenbergera brzdí rychlejší tempo očkování proti nemoci covid-19 nízké kapacity očkovacích míst. Proti tomu se však bouří zástupci zdravotnických zařízení i starostové obcí. </w:t>
      </w:r>
      <w:r w:rsidR="002C395E" w:rsidRPr="00DB7B9B">
        <w:rPr>
          <w:rFonts w:ascii="Tahoma" w:eastAsia="Tahoma" w:hAnsi="Tahoma" w:cs="Tahoma"/>
          <w:b/>
          <w:sz w:val="20"/>
          <w:szCs w:val="20"/>
        </w:rPr>
        <w:t>Jejich snah</w:t>
      </w:r>
      <w:r w:rsidR="00E117F3" w:rsidRPr="00DB7B9B">
        <w:rPr>
          <w:rFonts w:ascii="Tahoma" w:eastAsia="Tahoma" w:hAnsi="Tahoma" w:cs="Tahoma"/>
          <w:b/>
          <w:sz w:val="20"/>
          <w:szCs w:val="20"/>
        </w:rPr>
        <w:t>a</w:t>
      </w:r>
      <w:r w:rsidR="002C395E" w:rsidRPr="00DB7B9B">
        <w:rPr>
          <w:rFonts w:ascii="Tahoma" w:eastAsia="Tahoma" w:hAnsi="Tahoma" w:cs="Tahoma"/>
          <w:b/>
          <w:sz w:val="20"/>
          <w:szCs w:val="20"/>
        </w:rPr>
        <w:t xml:space="preserve"> rozšířit počet očkovacích center v lokalitě </w:t>
      </w:r>
      <w:r w:rsidR="00E117F3" w:rsidRPr="00DB7B9B">
        <w:rPr>
          <w:rFonts w:ascii="Tahoma" w:eastAsia="Tahoma" w:hAnsi="Tahoma" w:cs="Tahoma"/>
          <w:b/>
          <w:sz w:val="20"/>
          <w:szCs w:val="20"/>
        </w:rPr>
        <w:t xml:space="preserve">a umožnit občanům očkování v místě bydliště </w:t>
      </w:r>
      <w:r w:rsidR="002C395E" w:rsidRPr="00DB7B9B">
        <w:rPr>
          <w:rFonts w:ascii="Tahoma" w:eastAsia="Tahoma" w:hAnsi="Tahoma" w:cs="Tahoma"/>
          <w:b/>
          <w:sz w:val="20"/>
          <w:szCs w:val="20"/>
        </w:rPr>
        <w:t xml:space="preserve">totiž </w:t>
      </w:r>
      <w:r w:rsidR="00E117F3" w:rsidRPr="00DB7B9B">
        <w:rPr>
          <w:rFonts w:ascii="Tahoma" w:eastAsia="Tahoma" w:hAnsi="Tahoma" w:cs="Tahoma"/>
          <w:b/>
          <w:sz w:val="20"/>
          <w:szCs w:val="20"/>
        </w:rPr>
        <w:t>ztroskotala právě na zamítnutích „shora“</w:t>
      </w:r>
      <w:r w:rsidR="002C395E" w:rsidRPr="00DB7B9B">
        <w:rPr>
          <w:rFonts w:ascii="Tahoma" w:eastAsia="Tahoma" w:hAnsi="Tahoma" w:cs="Tahoma"/>
          <w:b/>
          <w:sz w:val="20"/>
          <w:szCs w:val="20"/>
        </w:rPr>
        <w:t>.</w:t>
      </w:r>
    </w:p>
    <w:p w14:paraId="116340BA" w14:textId="68266E5E" w:rsidR="00A42DCE" w:rsidRPr="00DB7B9B" w:rsidRDefault="00A42DCE" w:rsidP="0030018E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B7B9B">
        <w:rPr>
          <w:rFonts w:ascii="Tahoma" w:eastAsia="Tahoma" w:hAnsi="Tahoma" w:cs="Tahoma"/>
          <w:bCs/>
          <w:sz w:val="20"/>
          <w:szCs w:val="20"/>
        </w:rPr>
        <w:t xml:space="preserve">Ministr zdravotnictví Petr Arenberger (ANO) na středečním jednání sněmovního zdravotního výboru </w:t>
      </w:r>
      <w:hyperlink r:id="rId8" w:history="1">
        <w:r w:rsidRPr="00DB7B9B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přiznal</w:t>
        </w:r>
      </w:hyperlink>
      <w:r w:rsidRPr="00DB7B9B">
        <w:rPr>
          <w:rFonts w:ascii="Tahoma" w:eastAsia="Tahoma" w:hAnsi="Tahoma" w:cs="Tahoma"/>
          <w:bCs/>
          <w:sz w:val="20"/>
          <w:szCs w:val="20"/>
        </w:rPr>
        <w:t xml:space="preserve">, že </w:t>
      </w:r>
      <w:r w:rsidR="002C395E" w:rsidRPr="00DB7B9B">
        <w:rPr>
          <w:rFonts w:ascii="Tahoma" w:eastAsia="Tahoma" w:hAnsi="Tahoma" w:cs="Tahoma"/>
          <w:bCs/>
          <w:sz w:val="20"/>
          <w:szCs w:val="20"/>
        </w:rPr>
        <w:t xml:space="preserve">očkovat denně 100 tisíc obyvatel, jak sliboval, není reálné. A to ne z důvodu nedostatku vakcín, ale očkovacích míst. Už 26. dubna přitom starosta Prahy 8 Ondřej Gros (ODS) v otevřeném </w:t>
      </w:r>
      <w:hyperlink r:id="rId9" w:history="1">
        <w:r w:rsidR="002C395E" w:rsidRPr="00DB7B9B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dopise</w:t>
        </w:r>
      </w:hyperlink>
      <w:r w:rsidR="002C395E" w:rsidRPr="00DB7B9B">
        <w:rPr>
          <w:rFonts w:ascii="Tahoma" w:eastAsia="Tahoma" w:hAnsi="Tahoma" w:cs="Tahoma"/>
          <w:bCs/>
          <w:sz w:val="20"/>
          <w:szCs w:val="20"/>
        </w:rPr>
        <w:t xml:space="preserve"> ministru zdravotnictví vytýká, že den před uzavřením smlouvy zamezil otevření chystaného očkovacího centra v KD Ládví.</w:t>
      </w:r>
    </w:p>
    <w:p w14:paraId="2AE51591" w14:textId="4892615B" w:rsidR="0030018E" w:rsidRPr="00DB7B9B" w:rsidRDefault="00C928F1" w:rsidP="0004697D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B7B9B">
        <w:rPr>
          <w:rFonts w:ascii="Tahoma" w:eastAsia="Tahoma" w:hAnsi="Tahoma" w:cs="Tahoma"/>
          <w:color w:val="auto"/>
          <w:sz w:val="20"/>
          <w:szCs w:val="20"/>
        </w:rPr>
        <w:t>Zřízení očkovacího centra v</w:t>
      </w:r>
      <w:r w:rsidR="00A5434F">
        <w:rPr>
          <w:rFonts w:ascii="Tahoma" w:eastAsia="Tahoma" w:hAnsi="Tahoma" w:cs="Tahoma"/>
          <w:color w:val="auto"/>
          <w:sz w:val="20"/>
          <w:szCs w:val="20"/>
        </w:rPr>
        <w:t> 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>místě</w:t>
      </w:r>
      <w:r w:rsidR="00A5434F">
        <w:rPr>
          <w:rFonts w:ascii="Tahoma" w:eastAsia="Tahoma" w:hAnsi="Tahoma" w:cs="Tahoma"/>
          <w:color w:val="auto"/>
          <w:sz w:val="20"/>
          <w:szCs w:val="20"/>
        </w:rPr>
        <w:t xml:space="preserve">, kde má </w:t>
      </w:r>
      <w:r w:rsidR="004742A4">
        <w:rPr>
          <w:rFonts w:ascii="Tahoma" w:eastAsia="Tahoma" w:hAnsi="Tahoma" w:cs="Tahoma"/>
          <w:color w:val="auto"/>
          <w:sz w:val="20"/>
          <w:szCs w:val="20"/>
        </w:rPr>
        <w:t xml:space="preserve">bydliště </w:t>
      </w:r>
      <w:r w:rsidR="0007718A">
        <w:rPr>
          <w:rFonts w:ascii="Tahoma" w:eastAsia="Tahoma" w:hAnsi="Tahoma" w:cs="Tahoma"/>
          <w:color w:val="auto"/>
          <w:sz w:val="20"/>
          <w:szCs w:val="20"/>
        </w:rPr>
        <w:t xml:space="preserve">víc než 80 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tisíc </w:t>
      </w:r>
      <w:r w:rsidR="0004697D" w:rsidRPr="00DB7B9B">
        <w:rPr>
          <w:rFonts w:ascii="Tahoma" w:eastAsia="Tahoma" w:hAnsi="Tahoma" w:cs="Tahoma"/>
          <w:color w:val="auto"/>
          <w:sz w:val="20"/>
          <w:szCs w:val="20"/>
        </w:rPr>
        <w:t>lidí</w:t>
      </w:r>
      <w:r w:rsidR="00A5434F">
        <w:rPr>
          <w:rFonts w:ascii="Tahoma" w:eastAsia="Tahoma" w:hAnsi="Tahoma" w:cs="Tahoma"/>
          <w:color w:val="auto"/>
          <w:sz w:val="20"/>
          <w:szCs w:val="20"/>
        </w:rPr>
        <w:t>,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 se kvůli </w:t>
      </w:r>
      <w:r w:rsidR="0004697D" w:rsidRPr="00DB7B9B">
        <w:rPr>
          <w:rFonts w:ascii="Tahoma" w:eastAsia="Tahoma" w:hAnsi="Tahoma" w:cs="Tahoma"/>
          <w:color w:val="auto"/>
          <w:sz w:val="20"/>
          <w:szCs w:val="20"/>
        </w:rPr>
        <w:t>neochotě vládních představitelů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4697D" w:rsidRPr="00DB7B9B">
        <w:rPr>
          <w:rFonts w:ascii="Tahoma" w:eastAsia="Tahoma" w:hAnsi="Tahoma" w:cs="Tahoma"/>
          <w:color w:val="auto"/>
          <w:sz w:val="20"/>
          <w:szCs w:val="20"/>
        </w:rPr>
        <w:t xml:space="preserve">zatím 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nepodařilo ani ve FYZIOklinice v Praze 11. </w:t>
      </w:r>
      <w:r w:rsidR="00C74E56" w:rsidRPr="00DB7B9B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>Tlak ze strany spoluobčanů, zda se u nás budou moc nechat očkovat, byl tak silný, že jsme s</w:t>
      </w:r>
      <w:r w:rsidR="00420F6B" w:rsidRPr="00DB7B9B">
        <w:rPr>
          <w:rFonts w:ascii="Tahoma" w:eastAsia="Tahoma" w:hAnsi="Tahoma" w:cs="Tahoma"/>
          <w:color w:val="CC9900"/>
          <w:sz w:val="20"/>
          <w:szCs w:val="20"/>
        </w:rPr>
        <w:t>i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 xml:space="preserve"> už v listopadu 2020 začali zjišťovat</w:t>
      </w:r>
      <w:r w:rsidR="00420F6B" w:rsidRPr="00DB7B9B">
        <w:rPr>
          <w:rFonts w:ascii="Tahoma" w:eastAsia="Tahoma" w:hAnsi="Tahoma" w:cs="Tahoma"/>
          <w:color w:val="CC9900"/>
          <w:sz w:val="20"/>
          <w:szCs w:val="20"/>
        </w:rPr>
        <w:t>,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 xml:space="preserve"> co je </w:t>
      </w:r>
      <w:r w:rsidR="00E117F3" w:rsidRPr="00DB7B9B">
        <w:rPr>
          <w:rFonts w:ascii="Tahoma" w:eastAsia="Tahoma" w:hAnsi="Tahoma" w:cs="Tahoma"/>
          <w:color w:val="CC9900"/>
          <w:sz w:val="20"/>
          <w:szCs w:val="20"/>
        </w:rPr>
        <w:t xml:space="preserve">pro to 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>potřeba.</w:t>
      </w:r>
      <w:r w:rsidR="00420F6B" w:rsidRPr="00DB7B9B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>Vzhledem k</w:t>
      </w:r>
      <w:r w:rsidR="004742A4">
        <w:rPr>
          <w:rFonts w:ascii="Tahoma" w:eastAsia="Tahoma" w:hAnsi="Tahoma" w:cs="Tahoma"/>
          <w:color w:val="CC9900"/>
          <w:sz w:val="20"/>
          <w:szCs w:val="20"/>
        </w:rPr>
        <w:t> tomu,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 xml:space="preserve"> že spouštíme nové služby ordinace praktického lékaře i dalších lékařských odborností, máme dostatek volného prostoru v budově, jsme výborně vybaveni organizačně i technicky</w:t>
      </w:r>
      <w:r w:rsidR="00420F6B" w:rsidRPr="00DB7B9B">
        <w:rPr>
          <w:rFonts w:ascii="Tahoma" w:eastAsia="Tahoma" w:hAnsi="Tahoma" w:cs="Tahoma"/>
          <w:color w:val="CC9900"/>
          <w:sz w:val="20"/>
          <w:szCs w:val="20"/>
        </w:rPr>
        <w:t>,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 xml:space="preserve"> umíme uchovávat vakcínu při teplotě minus 80 stupňů, provozujeme vlastní rezervační systém</w:t>
      </w:r>
      <w:r w:rsidR="00420F6B" w:rsidRPr="00DB7B9B">
        <w:rPr>
          <w:rFonts w:ascii="Tahoma" w:eastAsia="Tahoma" w:hAnsi="Tahoma" w:cs="Tahoma"/>
          <w:color w:val="CC9900"/>
          <w:sz w:val="20"/>
          <w:szCs w:val="20"/>
        </w:rPr>
        <w:t xml:space="preserve"> klientů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>, máme vlastní tým zákaznické péče, pustili jsme se do přípravy jak technické</w:t>
      </w:r>
      <w:r w:rsidR="00420F6B" w:rsidRPr="00DB7B9B">
        <w:rPr>
          <w:rFonts w:ascii="Tahoma" w:eastAsia="Tahoma" w:hAnsi="Tahoma" w:cs="Tahoma"/>
          <w:color w:val="CC9900"/>
          <w:sz w:val="20"/>
          <w:szCs w:val="20"/>
        </w:rPr>
        <w:t>,</w:t>
      </w:r>
      <w:r w:rsidR="0004697D" w:rsidRPr="00DB7B9B">
        <w:rPr>
          <w:rFonts w:ascii="Tahoma" w:eastAsia="Tahoma" w:hAnsi="Tahoma" w:cs="Tahoma"/>
          <w:color w:val="CC9900"/>
          <w:sz w:val="20"/>
          <w:szCs w:val="20"/>
        </w:rPr>
        <w:t xml:space="preserve"> tak byrokratické. Dnes máme všechna povolení za sebou. Vše jsme zainvestovali a jsme domluveni i s lékaři, sestrami a dalším zdravotnickým personálem pro rychlé zahájení očkování</w:t>
      </w:r>
      <w:r w:rsidR="00420F6B" w:rsidRPr="00DB7B9B">
        <w:rPr>
          <w:rFonts w:ascii="Tahoma" w:eastAsia="Tahoma" w:hAnsi="Tahoma" w:cs="Tahoma"/>
          <w:color w:val="CC9900"/>
          <w:sz w:val="20"/>
          <w:szCs w:val="20"/>
        </w:rPr>
        <w:t xml:space="preserve">. Máme kapacity na obsloužení obyvatel Prahy 11 i </w:t>
      </w:r>
      <w:r w:rsidR="00E117F3" w:rsidRPr="00DB7B9B">
        <w:rPr>
          <w:rFonts w:ascii="Tahoma" w:eastAsia="Tahoma" w:hAnsi="Tahoma" w:cs="Tahoma"/>
          <w:color w:val="CC9900"/>
          <w:sz w:val="20"/>
          <w:szCs w:val="20"/>
        </w:rPr>
        <w:t>z blízkých obcí</w:t>
      </w:r>
      <w:r w:rsidR="00420F6B" w:rsidRPr="00DB7B9B">
        <w:rPr>
          <w:rFonts w:ascii="Tahoma" w:eastAsia="Tahoma" w:hAnsi="Tahoma" w:cs="Tahoma"/>
          <w:color w:val="CC9900"/>
          <w:sz w:val="20"/>
          <w:szCs w:val="20"/>
        </w:rPr>
        <w:t xml:space="preserve"> za hranicí Prahy,</w:t>
      </w:r>
      <w:r w:rsidR="00C74E56" w:rsidRPr="00DB7B9B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C9458F">
        <w:rPr>
          <w:rFonts w:ascii="Tahoma" w:eastAsia="Tahoma" w:hAnsi="Tahoma" w:cs="Tahoma"/>
          <w:color w:val="auto"/>
          <w:sz w:val="20"/>
          <w:szCs w:val="20"/>
        </w:rPr>
        <w:t>uvedl Zdeněk Bílek, ředitel FYZIOkliniky. Možnost nechat se testovat antigenními či PCR testy, v obou případech neinvazivním odběrem ze slin, zde funguje od konce března. Organizace odběrů je rychlá, a tak je možné přijít bez předchozí online registrace.</w:t>
      </w:r>
    </w:p>
    <w:p w14:paraId="05E5144A" w14:textId="392EBA14" w:rsidR="007F5152" w:rsidRPr="00DB7B9B" w:rsidRDefault="00420F6B" w:rsidP="007F5152">
      <w:pP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B7B9B">
        <w:rPr>
          <w:rFonts w:ascii="Tahoma" w:eastAsia="Tahoma" w:hAnsi="Tahoma" w:cs="Tahoma"/>
          <w:color w:val="auto"/>
          <w:sz w:val="20"/>
          <w:szCs w:val="20"/>
        </w:rPr>
        <w:t>Před pár dny, když se začaly médii šířit zprávy o nových dodávkách tisíců vakcín</w:t>
      </w:r>
      <w:r w:rsidR="00E117F3" w:rsidRPr="00DB7B9B">
        <w:rPr>
          <w:rFonts w:ascii="Tahoma" w:eastAsia="Tahoma" w:hAnsi="Tahoma" w:cs="Tahoma"/>
          <w:color w:val="auto"/>
          <w:sz w:val="20"/>
          <w:szCs w:val="20"/>
        </w:rPr>
        <w:t xml:space="preserve"> do Česka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, však bylo očkovací místo ve FYZIOklinice národním koordinátorem a koordinátorem pro Prahu zamítnuto. </w:t>
      </w:r>
      <w:r w:rsidR="007F5152" w:rsidRPr="00DB7B9B">
        <w:rPr>
          <w:rFonts w:ascii="Tahoma" w:eastAsia="Tahoma" w:hAnsi="Tahoma" w:cs="Tahoma"/>
          <w:color w:val="auto"/>
          <w:sz w:val="20"/>
          <w:szCs w:val="20"/>
        </w:rPr>
        <w:t xml:space="preserve">Z důvodu nedostatku vakcín a provedené optimalizace očkovacích míst. </w:t>
      </w:r>
      <w:r w:rsidR="007F5152" w:rsidRPr="00DB7B9B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4B7ED3" w:rsidRPr="00DB7B9B">
        <w:rPr>
          <w:rFonts w:ascii="Tahoma" w:eastAsia="Tahoma" w:hAnsi="Tahoma" w:cs="Tahoma"/>
          <w:color w:val="CC9900"/>
          <w:sz w:val="20"/>
          <w:szCs w:val="20"/>
        </w:rPr>
        <w:t xml:space="preserve">Prý se snižují počty očkovacích míst! Vybrána byla jen některá největší očkovací místa v Praze, která smí očkovat. Konkrétně v Praze 11 jsou čtyři. Ano, uvědomujeme si, že nás dosud trápil velký nedostatek vakcín přidělených ČR. Nicméně až se dodávky konečně zvednou, pokládám za velmi důležité </w:t>
      </w:r>
      <w:r w:rsidR="00E117F3" w:rsidRPr="00DB7B9B">
        <w:rPr>
          <w:rFonts w:ascii="Tahoma" w:eastAsia="Tahoma" w:hAnsi="Tahoma" w:cs="Tahoma"/>
          <w:color w:val="CC9900"/>
          <w:sz w:val="20"/>
          <w:szCs w:val="20"/>
        </w:rPr>
        <w:t>umět</w:t>
      </w:r>
      <w:r w:rsidR="004B7ED3" w:rsidRPr="00DB7B9B">
        <w:rPr>
          <w:rFonts w:ascii="Tahoma" w:eastAsia="Tahoma" w:hAnsi="Tahoma" w:cs="Tahoma"/>
          <w:color w:val="CC9900"/>
          <w:sz w:val="20"/>
          <w:szCs w:val="20"/>
        </w:rPr>
        <w:t xml:space="preserve"> je rychle využít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.</w:t>
      </w:r>
      <w:r w:rsidR="004B7ED3" w:rsidRPr="00DB7B9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A</w:t>
      </w:r>
      <w:r w:rsidR="004B7ED3" w:rsidRPr="00DB7B9B">
        <w:rPr>
          <w:rFonts w:ascii="Tahoma" w:eastAsia="Tahoma" w:hAnsi="Tahoma" w:cs="Tahoma"/>
          <w:color w:val="CC9900"/>
          <w:sz w:val="20"/>
          <w:szCs w:val="20"/>
        </w:rPr>
        <w:t xml:space="preserve"> na ten okamžik jsme 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připraveni</w:t>
      </w:r>
      <w:r w:rsidR="004B7ED3" w:rsidRPr="00DB7B9B">
        <w:rPr>
          <w:rFonts w:ascii="Tahoma" w:eastAsia="Tahoma" w:hAnsi="Tahoma" w:cs="Tahoma"/>
          <w:color w:val="CC9900"/>
          <w:sz w:val="20"/>
          <w:szCs w:val="20"/>
        </w:rPr>
        <w:t>. Chtěli jsme pomoci, ale nesmíme! My jsme navíc stabilní klinika, která může pomoci zvednout lokální denní očkovací kapacitu Prahy v každé vlně očkování, které nás bude čekat. I v té podzimní, i v roce 2022. A to bez nákladných přestaveb sportovních hal, kongresových center, školních hřišť apod. Vždyť všechny tyto prostory mají velmi brzo sloužit svým obvyklým účelům. A my jsme zdravotnické zařízení určené k poskytování t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ěch</w:t>
      </w:r>
      <w:r w:rsidR="004B7ED3" w:rsidRPr="00DB7B9B">
        <w:rPr>
          <w:rFonts w:ascii="Tahoma" w:eastAsia="Tahoma" w:hAnsi="Tahoma" w:cs="Tahoma"/>
          <w:color w:val="CC9900"/>
          <w:sz w:val="20"/>
          <w:szCs w:val="20"/>
        </w:rPr>
        <w:t xml:space="preserve">to služeb,“ </w:t>
      </w:r>
      <w:r w:rsidR="007F5152" w:rsidRPr="00DB7B9B">
        <w:rPr>
          <w:rFonts w:ascii="Tahoma" w:eastAsia="Tahoma" w:hAnsi="Tahoma" w:cs="Tahoma"/>
          <w:color w:val="auto"/>
          <w:sz w:val="20"/>
          <w:szCs w:val="20"/>
        </w:rPr>
        <w:t>poukázal Zdeněk Bílek.</w:t>
      </w:r>
    </w:p>
    <w:p w14:paraId="6B54D674" w14:textId="58B130B1" w:rsidR="00386B48" w:rsidRDefault="004B7ED3" w:rsidP="00386B48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auto"/>
          <w:sz w:val="20"/>
          <w:szCs w:val="20"/>
        </w:rPr>
      </w:pP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Podle vládní očkovací strategie by se lidé, kteří nechtějí čekat na termín v nejbližším očkovacím centru, mohli přijet naočkovat </w:t>
      </w:r>
      <w:r w:rsidR="0007718A">
        <w:rPr>
          <w:rFonts w:ascii="Tahoma" w:eastAsia="Tahoma" w:hAnsi="Tahoma" w:cs="Tahoma"/>
          <w:color w:val="auto"/>
          <w:sz w:val="20"/>
          <w:szCs w:val="20"/>
        </w:rPr>
        <w:t xml:space="preserve">například 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do </w:t>
      </w:r>
      <w:r w:rsidR="00A738B9" w:rsidRPr="00DB7B9B">
        <w:rPr>
          <w:rFonts w:ascii="Tahoma" w:eastAsia="Tahoma" w:hAnsi="Tahoma" w:cs="Tahoma"/>
          <w:color w:val="auto"/>
          <w:sz w:val="20"/>
          <w:szCs w:val="20"/>
        </w:rPr>
        <w:t xml:space="preserve">velkokapacitního 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 xml:space="preserve">areálu O2 areny. 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>„Proč se m</w:t>
      </w:r>
      <w:r w:rsidR="0007718A">
        <w:rPr>
          <w:rFonts w:ascii="Tahoma" w:eastAsia="Tahoma" w:hAnsi="Tahoma" w:cs="Tahoma"/>
          <w:color w:val="CC9900"/>
          <w:sz w:val="20"/>
          <w:szCs w:val="20"/>
        </w:rPr>
        <w:t>a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>j</w:t>
      </w:r>
      <w:r w:rsidR="0007718A">
        <w:rPr>
          <w:rFonts w:ascii="Tahoma" w:eastAsia="Tahoma" w:hAnsi="Tahoma" w:cs="Tahoma"/>
          <w:color w:val="CC9900"/>
          <w:sz w:val="20"/>
          <w:szCs w:val="20"/>
        </w:rPr>
        <w:t>í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občan</w:t>
      </w:r>
      <w:r w:rsidR="0007718A">
        <w:rPr>
          <w:rFonts w:ascii="Tahoma" w:eastAsia="Tahoma" w:hAnsi="Tahoma" w:cs="Tahoma"/>
          <w:color w:val="CC9900"/>
          <w:sz w:val="20"/>
          <w:szCs w:val="20"/>
        </w:rPr>
        <w:t>é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Prahy 11 </w:t>
      </w:r>
      <w:r w:rsidR="0038644F" w:rsidRPr="00DB7B9B">
        <w:rPr>
          <w:rFonts w:ascii="Tahoma" w:eastAsia="Tahoma" w:hAnsi="Tahoma" w:cs="Tahoma"/>
          <w:color w:val="CC9900"/>
          <w:sz w:val="20"/>
          <w:szCs w:val="20"/>
        </w:rPr>
        <w:t xml:space="preserve">nechat 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>očkovat na druh</w:t>
      </w:r>
      <w:r w:rsidR="004F1316">
        <w:rPr>
          <w:rFonts w:ascii="Tahoma" w:eastAsia="Tahoma" w:hAnsi="Tahoma" w:cs="Tahoma"/>
          <w:color w:val="CC9900"/>
          <w:sz w:val="20"/>
          <w:szCs w:val="20"/>
        </w:rPr>
        <w:t>é</w:t>
      </w:r>
      <w:r w:rsidR="0038644F" w:rsidRPr="00DB7B9B">
        <w:rPr>
          <w:rFonts w:ascii="Tahoma" w:eastAsia="Tahoma" w:hAnsi="Tahoma" w:cs="Tahoma"/>
          <w:color w:val="CC9900"/>
          <w:sz w:val="20"/>
          <w:szCs w:val="20"/>
        </w:rPr>
        <w:t>m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kon</w:t>
      </w:r>
      <w:r w:rsidR="0038644F" w:rsidRPr="00DB7B9B">
        <w:rPr>
          <w:rFonts w:ascii="Tahoma" w:eastAsia="Tahoma" w:hAnsi="Tahoma" w:cs="Tahoma"/>
          <w:color w:val="CC9900"/>
          <w:sz w:val="20"/>
          <w:szCs w:val="20"/>
        </w:rPr>
        <w:t>ci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Prahy, když jim můžeme pomoci lokálně? Někteří občané se chtějí nechat očkovat u praktiků a někteří se naopak ordinacím praktických lékařů </w:t>
      </w:r>
      <w:r w:rsidR="0038644F" w:rsidRPr="00DB7B9B">
        <w:rPr>
          <w:rFonts w:ascii="Tahoma" w:eastAsia="Tahoma" w:hAnsi="Tahoma" w:cs="Tahoma"/>
          <w:color w:val="CC9900"/>
          <w:sz w:val="20"/>
          <w:szCs w:val="20"/>
        </w:rPr>
        <w:t>vyhýbají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>. Někdo má možnost dojet si do vzdálenějšího očkovacího centra, jin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ý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ne, ale většina vítá 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očkovací centrum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8644F" w:rsidRPr="00DB7B9B">
        <w:rPr>
          <w:rFonts w:ascii="Tahoma" w:eastAsia="Tahoma" w:hAnsi="Tahoma" w:cs="Tahoma"/>
          <w:color w:val="CC9900"/>
          <w:sz w:val="20"/>
          <w:szCs w:val="20"/>
        </w:rPr>
        <w:t>v místě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svého bydliště. Skutečně nedokážu pochopit způsob rozhodování koordinátorů očkování v ČR a vládní strategi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i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, která </w:t>
      </w:r>
      <w:r w:rsidR="00A738B9" w:rsidRPr="00DB7B9B">
        <w:rPr>
          <w:rFonts w:ascii="Tahoma" w:eastAsia="Tahoma" w:hAnsi="Tahoma" w:cs="Tahoma"/>
          <w:color w:val="CC9900"/>
          <w:sz w:val="20"/>
          <w:szCs w:val="20"/>
        </w:rPr>
        <w:t>nám brání</w:t>
      </w:r>
      <w:r w:rsidRPr="00DB7B9B">
        <w:rPr>
          <w:rFonts w:ascii="Tahoma" w:eastAsia="Tahoma" w:hAnsi="Tahoma" w:cs="Tahoma"/>
          <w:color w:val="CC9900"/>
          <w:sz w:val="20"/>
          <w:szCs w:val="20"/>
        </w:rPr>
        <w:t xml:space="preserve"> zvednout lokální kapacitu očkování,“ </w:t>
      </w:r>
      <w:r w:rsidRPr="00DB7B9B">
        <w:rPr>
          <w:rFonts w:ascii="Tahoma" w:eastAsia="Tahoma" w:hAnsi="Tahoma" w:cs="Tahoma"/>
          <w:color w:val="auto"/>
          <w:sz w:val="20"/>
          <w:szCs w:val="20"/>
        </w:rPr>
        <w:t>dodal Zdeněk Bílek.</w:t>
      </w:r>
    </w:p>
    <w:p w14:paraId="732F34A0" w14:textId="74C9587E" w:rsidR="00D27ED9" w:rsidRPr="008D0C20" w:rsidRDefault="00DE62A4" w:rsidP="00386B48">
      <w:pP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lastRenderedPageBreak/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3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4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C77C" w14:textId="77777777" w:rsidR="008D4517" w:rsidRDefault="008D4517">
      <w:pPr>
        <w:spacing w:after="0" w:line="240" w:lineRule="auto"/>
      </w:pPr>
      <w:r>
        <w:separator/>
      </w:r>
    </w:p>
  </w:endnote>
  <w:endnote w:type="continuationSeparator" w:id="0">
    <w:p w14:paraId="63D99A06" w14:textId="77777777" w:rsidR="008D4517" w:rsidRDefault="008D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7693" w14:textId="77777777" w:rsidR="008D4517" w:rsidRDefault="008D4517">
      <w:pPr>
        <w:spacing w:after="0" w:line="240" w:lineRule="auto"/>
      </w:pPr>
      <w:r>
        <w:separator/>
      </w:r>
    </w:p>
  </w:footnote>
  <w:footnote w:type="continuationSeparator" w:id="0">
    <w:p w14:paraId="1BB51697" w14:textId="77777777" w:rsidR="008D4517" w:rsidRDefault="008D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697D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7718A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A34EB"/>
    <w:rsid w:val="000A44B3"/>
    <w:rsid w:val="000B07EA"/>
    <w:rsid w:val="000B19CC"/>
    <w:rsid w:val="000B4551"/>
    <w:rsid w:val="000B4B10"/>
    <w:rsid w:val="000B77C6"/>
    <w:rsid w:val="000B7E44"/>
    <w:rsid w:val="000C2394"/>
    <w:rsid w:val="000C24B1"/>
    <w:rsid w:val="000C2D36"/>
    <w:rsid w:val="000C30D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6E2A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32EF"/>
    <w:rsid w:val="00263654"/>
    <w:rsid w:val="002636FB"/>
    <w:rsid w:val="00263B04"/>
    <w:rsid w:val="00264EA9"/>
    <w:rsid w:val="002676A1"/>
    <w:rsid w:val="0027111C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2B5F"/>
    <w:rsid w:val="00297D95"/>
    <w:rsid w:val="002A0355"/>
    <w:rsid w:val="002A339E"/>
    <w:rsid w:val="002B13C3"/>
    <w:rsid w:val="002B3BBA"/>
    <w:rsid w:val="002B667F"/>
    <w:rsid w:val="002B6850"/>
    <w:rsid w:val="002B7206"/>
    <w:rsid w:val="002B733A"/>
    <w:rsid w:val="002C395E"/>
    <w:rsid w:val="002C5499"/>
    <w:rsid w:val="002C705F"/>
    <w:rsid w:val="002C77DC"/>
    <w:rsid w:val="002D0CA1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2219D"/>
    <w:rsid w:val="003267A0"/>
    <w:rsid w:val="003278BF"/>
    <w:rsid w:val="00333407"/>
    <w:rsid w:val="00336920"/>
    <w:rsid w:val="0034014E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417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44F"/>
    <w:rsid w:val="00386B48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0F6B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2A4"/>
    <w:rsid w:val="004748B3"/>
    <w:rsid w:val="004771B7"/>
    <w:rsid w:val="0047759B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2848"/>
    <w:rsid w:val="004A5E48"/>
    <w:rsid w:val="004B0C64"/>
    <w:rsid w:val="004B2989"/>
    <w:rsid w:val="004B35D6"/>
    <w:rsid w:val="004B6327"/>
    <w:rsid w:val="004B6573"/>
    <w:rsid w:val="004B79C1"/>
    <w:rsid w:val="004B7ED3"/>
    <w:rsid w:val="004C1ED3"/>
    <w:rsid w:val="004C6422"/>
    <w:rsid w:val="004C64E4"/>
    <w:rsid w:val="004C6739"/>
    <w:rsid w:val="004C6F93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1316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7A76"/>
    <w:rsid w:val="00540E9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B07B9"/>
    <w:rsid w:val="005B0C7A"/>
    <w:rsid w:val="005B102E"/>
    <w:rsid w:val="005B1703"/>
    <w:rsid w:val="005B1DED"/>
    <w:rsid w:val="005B2F58"/>
    <w:rsid w:val="005B45FB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37E3"/>
    <w:rsid w:val="006D763E"/>
    <w:rsid w:val="006E17D7"/>
    <w:rsid w:val="006E187F"/>
    <w:rsid w:val="006E235E"/>
    <w:rsid w:val="006E411C"/>
    <w:rsid w:val="006E4752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7F5152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4EC4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63F7"/>
    <w:rsid w:val="008C652E"/>
    <w:rsid w:val="008D0C20"/>
    <w:rsid w:val="008D179E"/>
    <w:rsid w:val="008D4143"/>
    <w:rsid w:val="008D4517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2C64"/>
    <w:rsid w:val="008F5105"/>
    <w:rsid w:val="008F557F"/>
    <w:rsid w:val="008F585C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4B14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2DCE"/>
    <w:rsid w:val="00A43CBB"/>
    <w:rsid w:val="00A4433C"/>
    <w:rsid w:val="00A502F1"/>
    <w:rsid w:val="00A5130B"/>
    <w:rsid w:val="00A5434F"/>
    <w:rsid w:val="00A546CC"/>
    <w:rsid w:val="00A563A0"/>
    <w:rsid w:val="00A620B6"/>
    <w:rsid w:val="00A635C6"/>
    <w:rsid w:val="00A666A6"/>
    <w:rsid w:val="00A66E47"/>
    <w:rsid w:val="00A71D6C"/>
    <w:rsid w:val="00A738B9"/>
    <w:rsid w:val="00A81A2F"/>
    <w:rsid w:val="00A81F20"/>
    <w:rsid w:val="00A829EA"/>
    <w:rsid w:val="00A8371B"/>
    <w:rsid w:val="00A84B00"/>
    <w:rsid w:val="00A86A86"/>
    <w:rsid w:val="00A87B9D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2E9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385"/>
    <w:rsid w:val="00B56DCB"/>
    <w:rsid w:val="00B6293F"/>
    <w:rsid w:val="00B63C43"/>
    <w:rsid w:val="00B657D3"/>
    <w:rsid w:val="00B66335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4806"/>
    <w:rsid w:val="00C65C4D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28F1"/>
    <w:rsid w:val="00C94303"/>
    <w:rsid w:val="00C9458F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7E63"/>
    <w:rsid w:val="00D81A50"/>
    <w:rsid w:val="00D848E5"/>
    <w:rsid w:val="00D8751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B7B9B"/>
    <w:rsid w:val="00DC136D"/>
    <w:rsid w:val="00DC226B"/>
    <w:rsid w:val="00DC3579"/>
    <w:rsid w:val="00DC378B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4BDD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17F3"/>
    <w:rsid w:val="00E125F7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7A1"/>
    <w:rsid w:val="00E57E13"/>
    <w:rsid w:val="00E62722"/>
    <w:rsid w:val="00E62A8A"/>
    <w:rsid w:val="00E63AA6"/>
    <w:rsid w:val="00E64056"/>
    <w:rsid w:val="00E655C4"/>
    <w:rsid w:val="00E65A90"/>
    <w:rsid w:val="00E72B8B"/>
    <w:rsid w:val="00E74B08"/>
    <w:rsid w:val="00E771A9"/>
    <w:rsid w:val="00E818FB"/>
    <w:rsid w:val="00E81974"/>
    <w:rsid w:val="00E819EB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722E"/>
    <w:rsid w:val="00EB0BAF"/>
    <w:rsid w:val="00EB2539"/>
    <w:rsid w:val="00EB401C"/>
    <w:rsid w:val="00EB4E30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B7C01540-D720-41BA-A0FE-1C753569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C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znamzpravy.cz/clanek/arenberger-kdo-nebude-ockovany-bude-se-muset-testovat-i-po-prazdninach-152492" TargetMode="External"/><Relationship Id="rId13" Type="http://schemas.openxmlformats.org/officeDocument/2006/relationships/hyperlink" Target="mailto:eliska@pear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ho24.cz/a/Ss64d/nehorazny-pristup-prace-vnivec-starosta-prahy-8-cupuje-v-dopise-ministra-arenbergera" TargetMode="External"/><Relationship Id="rId14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7A69-8C6A-164A-B516-07B69912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3</cp:revision>
  <dcterms:created xsi:type="dcterms:W3CDTF">2021-04-29T11:02:00Z</dcterms:created>
  <dcterms:modified xsi:type="dcterms:W3CDTF">2021-04-29T11:32:00Z</dcterms:modified>
</cp:coreProperties>
</file>