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1E70" w14:textId="77777777" w:rsidR="00D04899" w:rsidRDefault="00000000">
      <w:pPr>
        <w:jc w:val="center"/>
        <w:rPr>
          <w:rFonts w:ascii="Tahoma" w:eastAsia="Tahoma" w:hAnsi="Tahoma" w:cs="Tahoma"/>
          <w:b/>
          <w:sz w:val="48"/>
          <w:szCs w:val="48"/>
        </w:rPr>
      </w:pPr>
      <w:r>
        <w:rPr>
          <w:rFonts w:ascii="Tahoma" w:eastAsia="Tahoma" w:hAnsi="Tahoma" w:cs="Tahoma"/>
          <w:b/>
          <w:sz w:val="48"/>
          <w:szCs w:val="48"/>
        </w:rPr>
        <w:t>Mrkání: zajišťuje správné fungování oka. Jde ho natrénovat</w:t>
      </w:r>
    </w:p>
    <w:p w14:paraId="3F375B7F" w14:textId="77777777" w:rsidR="00D04899" w:rsidRDefault="00000000">
      <w:pPr>
        <w:jc w:val="both"/>
        <w:rPr>
          <w:rFonts w:ascii="Tahoma" w:eastAsia="Tahoma" w:hAnsi="Tahoma" w:cs="Tahoma"/>
          <w:b/>
          <w:sz w:val="21"/>
          <w:szCs w:val="21"/>
        </w:rPr>
      </w:pPr>
      <w:r>
        <w:rPr>
          <w:rFonts w:ascii="Tahoma" w:eastAsia="Tahoma" w:hAnsi="Tahoma" w:cs="Tahoma"/>
          <w:b/>
          <w:sz w:val="21"/>
          <w:szCs w:val="21"/>
        </w:rPr>
        <w:t>PRAHA, 22. DUBNA 2025 – Pro zdraví očí je pravidelné mrkání velmi důležité – rovnoměrně rozprostírá slzný film po povrchu oka a udržuje jeho povrch hladký a čistý. Při práci na počítači, vlivem některých onemocnění nebo s přibývajícím věkem oční víčko ale frekvenci mrkání zpomaluje. To může být pro zrak nebezpečné.</w:t>
      </w:r>
    </w:p>
    <w:p w14:paraId="49BDE270" w14:textId="2731AA8E" w:rsidR="00D04899" w:rsidRDefault="00000000">
      <w:pPr>
        <w:pBdr>
          <w:top w:val="none" w:sz="0" w:space="0" w:color="000000"/>
          <w:left w:val="none" w:sz="0" w:space="0" w:color="000000"/>
          <w:bottom w:val="none" w:sz="0" w:space="0" w:color="000000"/>
          <w:right w:val="none" w:sz="0" w:space="0" w:color="000000"/>
          <w:between w:val="none" w:sz="0" w:space="0" w:color="000000"/>
        </w:pBdr>
        <w:jc w:val="both"/>
        <w:rPr>
          <w:rFonts w:ascii="Tahoma" w:eastAsia="Tahoma" w:hAnsi="Tahoma" w:cs="Tahoma"/>
          <w:sz w:val="21"/>
          <w:szCs w:val="21"/>
        </w:rPr>
      </w:pPr>
      <w:bookmarkStart w:id="0" w:name="_h8yxlsmlxdgj" w:colFirst="0" w:colLast="0"/>
      <w:bookmarkEnd w:id="0"/>
      <w:r>
        <w:rPr>
          <w:rFonts w:ascii="Tahoma" w:eastAsia="Tahoma" w:hAnsi="Tahoma" w:cs="Tahoma"/>
          <w:sz w:val="21"/>
          <w:szCs w:val="21"/>
        </w:rPr>
        <w:t xml:space="preserve">Člověk ročně mrkne průměrně </w:t>
      </w:r>
      <w:proofErr w:type="spellStart"/>
      <w:r w:rsidR="0068584F">
        <w:rPr>
          <w:rFonts w:ascii="Tahoma" w:eastAsia="Tahoma" w:hAnsi="Tahoma" w:cs="Tahoma"/>
          <w:sz w:val="21"/>
          <w:szCs w:val="21"/>
        </w:rPr>
        <w:t>čtyřmilionkrát</w:t>
      </w:r>
      <w:proofErr w:type="spellEnd"/>
      <w:r>
        <w:rPr>
          <w:rFonts w:ascii="Tahoma" w:eastAsia="Tahoma" w:hAnsi="Tahoma" w:cs="Tahoma"/>
          <w:sz w:val="21"/>
          <w:szCs w:val="21"/>
        </w:rPr>
        <w:t xml:space="preserve">. Ženy mrkají častěji než muži. </w:t>
      </w:r>
      <w:r>
        <w:rPr>
          <w:rFonts w:ascii="Tahoma" w:eastAsia="Tahoma" w:hAnsi="Tahoma" w:cs="Tahoma"/>
          <w:color w:val="CC9900"/>
          <w:sz w:val="21"/>
          <w:szCs w:val="21"/>
        </w:rPr>
        <w:t xml:space="preserve">„Fyziologicky se mrknutí opakuje po třech až šesti sekundách. Mrkání rozprostírá slzný film po povrchu oka a napomáhá odvodu slz do slzných cest. Slzné žlázy produkují denně asi jeden mililitr slz. Slzný film má důležité funkce – je prvním optickým rozhraním oka, omývá i chrání rohovku a spojivku, navíc má antibakteriální efekt. Příčin nestability či snížené tvorby slzného filmu je mnoho. Například u žen jsou častými činiteli hormonální změny. Ženy, které užívají hormonální antikoncepci, mohou trpět příznaky suchosti očí, a proto mrkají až o třetinu častěji než muži,“ </w:t>
      </w:r>
      <w:r>
        <w:rPr>
          <w:rFonts w:ascii="Tahoma" w:eastAsia="Tahoma" w:hAnsi="Tahoma" w:cs="Tahoma"/>
          <w:sz w:val="21"/>
          <w:szCs w:val="21"/>
        </w:rPr>
        <w:t xml:space="preserve">řekl Pavel Stodůlka, přednosta sítě očních klinik </w:t>
      </w:r>
      <w:hyperlink r:id="rId6">
        <w:proofErr w:type="spellStart"/>
        <w:r>
          <w:rPr>
            <w:rFonts w:ascii="Tahoma" w:eastAsia="Tahoma" w:hAnsi="Tahoma" w:cs="Tahoma"/>
            <w:color w:val="0000FF"/>
            <w:sz w:val="21"/>
            <w:szCs w:val="21"/>
            <w:u w:val="single"/>
          </w:rPr>
          <w:t>Gemini</w:t>
        </w:r>
        <w:proofErr w:type="spellEnd"/>
      </w:hyperlink>
      <w:r>
        <w:rPr>
          <w:rFonts w:ascii="Tahoma" w:eastAsia="Tahoma" w:hAnsi="Tahoma" w:cs="Tahoma"/>
          <w:sz w:val="21"/>
          <w:szCs w:val="21"/>
        </w:rPr>
        <w:t>.</w:t>
      </w:r>
    </w:p>
    <w:p w14:paraId="14A4D196" w14:textId="77777777" w:rsidR="00D04899" w:rsidRDefault="00000000">
      <w:pPr>
        <w:jc w:val="both"/>
        <w:rPr>
          <w:rFonts w:ascii="Tahoma" w:eastAsia="Tahoma" w:hAnsi="Tahoma" w:cs="Tahoma"/>
          <w:sz w:val="21"/>
          <w:szCs w:val="21"/>
        </w:rPr>
      </w:pPr>
      <w:r>
        <w:rPr>
          <w:rFonts w:ascii="Tahoma" w:eastAsia="Tahoma" w:hAnsi="Tahoma" w:cs="Tahoma"/>
          <w:sz w:val="21"/>
          <w:szCs w:val="21"/>
        </w:rPr>
        <w:t xml:space="preserve">Frekvence mrkání se mění při stresu, soustředěném pohledu na určitou vzdálenost, při únavě nebo při podráždění oka. Problémy s pravidelným mrkáním mívají lidé pracující na počítači. </w:t>
      </w:r>
      <w:r>
        <w:rPr>
          <w:rFonts w:ascii="Tahoma" w:eastAsia="Tahoma" w:hAnsi="Tahoma" w:cs="Tahoma"/>
          <w:color w:val="CC9900"/>
          <w:sz w:val="21"/>
          <w:szCs w:val="21"/>
        </w:rPr>
        <w:t xml:space="preserve">„Při sledování monitoru je přirozené, že člověk při soustředění na danou činnost mrká asi pětkrát méně, než je běžné. Tím povrch oka trpí, protože nedochází k potřebnému zvlhčení slzami. Syndrom suchých očí způsobuje osychání rohovky. Je proto nutné oči pravidelně pečlivě promrkat,“ </w:t>
      </w:r>
      <w:r>
        <w:rPr>
          <w:rFonts w:ascii="Tahoma" w:eastAsia="Tahoma" w:hAnsi="Tahoma" w:cs="Tahoma"/>
          <w:sz w:val="21"/>
          <w:szCs w:val="21"/>
        </w:rPr>
        <w:t xml:space="preserve">poradil Pavel Stodůlka. </w:t>
      </w:r>
    </w:p>
    <w:p w14:paraId="12091461" w14:textId="77777777" w:rsidR="00D04899" w:rsidRDefault="00000000">
      <w:pPr>
        <w:jc w:val="both"/>
        <w:rPr>
          <w:rFonts w:ascii="Tahoma" w:eastAsia="Tahoma" w:hAnsi="Tahoma" w:cs="Tahoma"/>
          <w:sz w:val="21"/>
          <w:szCs w:val="21"/>
        </w:rPr>
      </w:pPr>
      <w:r>
        <w:rPr>
          <w:rFonts w:ascii="Tahoma" w:eastAsia="Tahoma" w:hAnsi="Tahoma" w:cs="Tahoma"/>
          <w:sz w:val="21"/>
          <w:szCs w:val="21"/>
        </w:rPr>
        <w:t xml:space="preserve">Na mrkání má vliv i věk, starší lidé totiž mrkají méně často. </w:t>
      </w:r>
      <w:r>
        <w:rPr>
          <w:rFonts w:ascii="Tahoma" w:eastAsia="Tahoma" w:hAnsi="Tahoma" w:cs="Tahoma"/>
          <w:color w:val="CC9900"/>
          <w:sz w:val="21"/>
          <w:szCs w:val="21"/>
        </w:rPr>
        <w:t xml:space="preserve">„S přibývajícím věkem se snižuje produkce slz, což znamená, že oči nejsou tak často zvlhčovány a frekvence mrkání se snižuje. S přibývajícím věkem také klesá aktivita obličejových svalů, svaly zodpovědné za mrkání mohou být méně aktivní nebo oslabené. Na frekvenci mrkání mohou mít vliv i některé neurologické poruchy, jako Parkinsonova choroba, které jsou spojeny s méně častým mrkáním,“ </w:t>
      </w:r>
      <w:r>
        <w:rPr>
          <w:rFonts w:ascii="Tahoma" w:eastAsia="Tahoma" w:hAnsi="Tahoma" w:cs="Tahoma"/>
          <w:sz w:val="21"/>
          <w:szCs w:val="21"/>
        </w:rPr>
        <w:t xml:space="preserve">vyjmenovala Anna </w:t>
      </w:r>
      <w:proofErr w:type="spellStart"/>
      <w:r>
        <w:rPr>
          <w:rFonts w:ascii="Tahoma" w:eastAsia="Tahoma" w:hAnsi="Tahoma" w:cs="Tahoma"/>
          <w:sz w:val="21"/>
          <w:szCs w:val="21"/>
        </w:rPr>
        <w:t>Varsami</w:t>
      </w:r>
      <w:proofErr w:type="spellEnd"/>
      <w:r>
        <w:rPr>
          <w:rFonts w:ascii="Tahoma" w:eastAsia="Tahoma" w:hAnsi="Tahoma" w:cs="Tahoma"/>
          <w:sz w:val="21"/>
          <w:szCs w:val="21"/>
        </w:rPr>
        <w:t xml:space="preserve">, lékařka oční kliniky </w:t>
      </w:r>
      <w:proofErr w:type="spellStart"/>
      <w:r>
        <w:rPr>
          <w:rFonts w:ascii="Tahoma" w:eastAsia="Tahoma" w:hAnsi="Tahoma" w:cs="Tahoma"/>
          <w:sz w:val="21"/>
          <w:szCs w:val="21"/>
        </w:rPr>
        <w:t>Gemini</w:t>
      </w:r>
      <w:proofErr w:type="spellEnd"/>
      <w:r>
        <w:rPr>
          <w:rFonts w:ascii="Tahoma" w:eastAsia="Tahoma" w:hAnsi="Tahoma" w:cs="Tahoma"/>
          <w:sz w:val="21"/>
          <w:szCs w:val="21"/>
        </w:rPr>
        <w:t>.</w:t>
      </w:r>
    </w:p>
    <w:p w14:paraId="015F7927" w14:textId="4CE23E98" w:rsidR="00D04899" w:rsidRDefault="00000000">
      <w:pPr>
        <w:jc w:val="both"/>
        <w:rPr>
          <w:rFonts w:ascii="Tahoma" w:eastAsia="Tahoma" w:hAnsi="Tahoma" w:cs="Tahoma"/>
          <w:sz w:val="21"/>
          <w:szCs w:val="21"/>
        </w:rPr>
      </w:pPr>
      <w:r>
        <w:rPr>
          <w:rFonts w:ascii="Tahoma" w:eastAsia="Tahoma" w:hAnsi="Tahoma" w:cs="Tahoma"/>
          <w:sz w:val="21"/>
          <w:szCs w:val="21"/>
        </w:rPr>
        <w:t xml:space="preserve">K narušení správného mrkání může dojít vlivem různých onemocnění či úrazů. Někteří lidé se dokonce mohou narodit bez očních víček. </w:t>
      </w:r>
      <w:r>
        <w:rPr>
          <w:rFonts w:ascii="Tahoma" w:eastAsia="Tahoma" w:hAnsi="Tahoma" w:cs="Tahoma"/>
          <w:color w:val="CC9900"/>
          <w:sz w:val="21"/>
          <w:szCs w:val="21"/>
        </w:rPr>
        <w:t xml:space="preserve">„Obecně mezi onemocnění, která mají vliv na mrkání, patří neurologická onemocnění nebo obrny nervů. Patří sem například Bellova obrna, kdy dochází k poškození lícního nervu, které může způsobit ochrnutí mimických svalů, včetně svalů ovládajících mrkání. Výsledkem může být neschopnost zavřít oko, což vede k vysychání a podráždění rohovky. Poškození mozku, například v důsledku mrtvice nebo roztroušené sklerózy, může oslabit reflexní i vědomé mrkání. Parkinsonova choroba zpomaluje motorické funkce, včetně frekvence mrkání, pacienti pak mrkají mnohem méně často. Existují ale i vrozené vývojové vady s chyběním víček. O víčko může člověk přijít také vlivem úrazu, poté je oční povrch více náchylný k osychání a infekci, je nutné ho trvale chránit, lubrikovat, případně provést chirurgickou úpravu,“ </w:t>
      </w:r>
      <w:r>
        <w:rPr>
          <w:rFonts w:ascii="Tahoma" w:eastAsia="Tahoma" w:hAnsi="Tahoma" w:cs="Tahoma"/>
          <w:sz w:val="21"/>
          <w:szCs w:val="21"/>
        </w:rPr>
        <w:t xml:space="preserve">vyjmenovala Anna </w:t>
      </w:r>
      <w:proofErr w:type="spellStart"/>
      <w:r>
        <w:rPr>
          <w:rFonts w:ascii="Tahoma" w:eastAsia="Tahoma" w:hAnsi="Tahoma" w:cs="Tahoma"/>
          <w:sz w:val="21"/>
          <w:szCs w:val="21"/>
        </w:rPr>
        <w:t>Varsami</w:t>
      </w:r>
      <w:proofErr w:type="spellEnd"/>
      <w:r>
        <w:rPr>
          <w:rFonts w:ascii="Tahoma" w:eastAsia="Tahoma" w:hAnsi="Tahoma" w:cs="Tahoma"/>
          <w:sz w:val="21"/>
          <w:szCs w:val="21"/>
        </w:rPr>
        <w:t>.</w:t>
      </w:r>
    </w:p>
    <w:p w14:paraId="46B76B37" w14:textId="77777777" w:rsidR="00D04899" w:rsidRDefault="00000000">
      <w:pPr>
        <w:pBdr>
          <w:bottom w:val="single" w:sz="4" w:space="1" w:color="000000"/>
        </w:pBdr>
        <w:jc w:val="both"/>
        <w:rPr>
          <w:rFonts w:ascii="Tahoma" w:eastAsia="Tahoma" w:hAnsi="Tahoma" w:cs="Tahoma"/>
          <w:sz w:val="21"/>
          <w:szCs w:val="21"/>
        </w:rPr>
      </w:pPr>
      <w:r>
        <w:rPr>
          <w:rFonts w:ascii="Tahoma" w:eastAsia="Tahoma" w:hAnsi="Tahoma" w:cs="Tahoma"/>
          <w:sz w:val="21"/>
          <w:szCs w:val="21"/>
        </w:rPr>
        <w:lastRenderedPageBreak/>
        <w:t xml:space="preserve">Pro zdraví oka není prospěšné ani nadměrné mrkání. </w:t>
      </w:r>
      <w:r>
        <w:rPr>
          <w:rFonts w:ascii="Tahoma" w:eastAsia="Tahoma" w:hAnsi="Tahoma" w:cs="Tahoma"/>
          <w:color w:val="CC9900"/>
          <w:sz w:val="21"/>
          <w:szCs w:val="21"/>
        </w:rPr>
        <w:t xml:space="preserve">„Chvění víček bývá typické při onemocnění štítné žlázy, tiky víček mohou ukazovat nedostatek minerálů, například hořčíku, nebo mohou poukazovat na neurologickou příčinu. Pokud se pod víčko dostane nečistota, může dojít k poškrábání oka, při podráždění se totiž mrkání automaticky zrychlí. Mrkání způsobuje tření mezi nečistotou a rohovkou, což může vést k oděru rohovky. Je vhodné oko propláchnout umělými slzami nebo alespoň čistou vodou, a pokud je podrážděné, nechat ho nějakou dobu zavřené,“ </w:t>
      </w:r>
      <w:r>
        <w:rPr>
          <w:rFonts w:ascii="Tahoma" w:eastAsia="Tahoma" w:hAnsi="Tahoma" w:cs="Tahoma"/>
          <w:sz w:val="21"/>
          <w:szCs w:val="21"/>
        </w:rPr>
        <w:t>doporučil Pavel Stodůlka.</w:t>
      </w:r>
    </w:p>
    <w:p w14:paraId="0598F09B" w14:textId="24C5906A" w:rsidR="00D04899" w:rsidRDefault="00000000">
      <w:pPr>
        <w:pBdr>
          <w:bottom w:val="single" w:sz="4" w:space="1" w:color="000000"/>
        </w:pBdr>
        <w:jc w:val="both"/>
        <w:rPr>
          <w:rFonts w:ascii="Tahoma" w:eastAsia="Tahoma" w:hAnsi="Tahoma" w:cs="Tahoma"/>
          <w:color w:val="CC9900"/>
          <w:sz w:val="21"/>
          <w:szCs w:val="21"/>
        </w:rPr>
      </w:pPr>
      <w:r>
        <w:rPr>
          <w:rFonts w:ascii="Tahoma" w:eastAsia="Tahoma" w:hAnsi="Tahoma" w:cs="Tahoma"/>
          <w:sz w:val="21"/>
          <w:szCs w:val="21"/>
        </w:rPr>
        <w:t xml:space="preserve">Správné mrkání jde natrénovat. To je důležité zejména pro lidi, kteří trpí suchýma očima, dlouhodobě pracují na počítači nebo mají neurologická onemocnění. </w:t>
      </w:r>
      <w:r>
        <w:rPr>
          <w:rFonts w:ascii="Tahoma" w:eastAsia="Tahoma" w:hAnsi="Tahoma" w:cs="Tahoma"/>
          <w:color w:val="CC9900"/>
          <w:sz w:val="21"/>
          <w:szCs w:val="21"/>
        </w:rPr>
        <w:t xml:space="preserve">„Existuje několik cvičení, která oko ‚naučí‘ správně mrkat. Záměrně mrkejte častěji, zejména při práci na počítači, čtení nebo sledování obrazovky. Každých 30 minut zavřete na dvě až tři sekundy oči, poté mrkněte pomalu několikrát za sebou. Každých 30 minut se podívejte 30 sekund na objekt vzdálený alespoň šest metrů, přitom několikrát vědomě pomalu a úplně mrkněte. Vhodná je i jemná masáž, ta posiluje svaly kolem očí a podporuje tvorbu slz. Krouživými pohyby masírujte zavřená víčka po dobu 30 sekund, dvakrát až třikrát denně,“ </w:t>
      </w:r>
      <w:r>
        <w:rPr>
          <w:rFonts w:ascii="Tahoma" w:eastAsia="Tahoma" w:hAnsi="Tahoma" w:cs="Tahoma"/>
          <w:sz w:val="21"/>
          <w:szCs w:val="21"/>
        </w:rPr>
        <w:t>doporučil Pavel Stodůlka.</w:t>
      </w:r>
    </w:p>
    <w:p w14:paraId="57531E28" w14:textId="77777777" w:rsidR="00D04899" w:rsidRDefault="00000000">
      <w:pPr>
        <w:spacing w:before="240" w:after="240"/>
        <w:jc w:val="both"/>
        <w:rPr>
          <w:rFonts w:ascii="Tahoma" w:eastAsia="Tahoma" w:hAnsi="Tahoma" w:cs="Tahoma"/>
          <w:color w:val="CC9900"/>
          <w:sz w:val="21"/>
          <w:szCs w:val="21"/>
        </w:rPr>
      </w:pPr>
      <w:r>
        <w:rPr>
          <w:rFonts w:ascii="Tahoma" w:eastAsia="Tahoma" w:hAnsi="Tahoma" w:cs="Tahoma"/>
          <w:b/>
          <w:sz w:val="21"/>
          <w:szCs w:val="21"/>
        </w:rPr>
        <w:t>KONTAKT PRO MÉDIA:</w:t>
      </w:r>
    </w:p>
    <w:p w14:paraId="2AB8D90C" w14:textId="77777777" w:rsidR="00D04899" w:rsidRDefault="00000000">
      <w:pPr>
        <w:jc w:val="both"/>
        <w:rPr>
          <w:rFonts w:ascii="Tahoma" w:eastAsia="Tahoma" w:hAnsi="Tahoma" w:cs="Tahoma"/>
          <w:b/>
          <w:color w:val="CC9900"/>
          <w:sz w:val="21"/>
          <w:szCs w:val="21"/>
        </w:rPr>
      </w:pPr>
      <w:r>
        <w:rPr>
          <w:rFonts w:ascii="Tahoma" w:eastAsia="Tahoma" w:hAnsi="Tahoma" w:cs="Tahoma"/>
          <w:b/>
          <w:color w:val="333333"/>
          <w:sz w:val="21"/>
          <w:szCs w:val="21"/>
        </w:rPr>
        <w:t xml:space="preserve">Mgr. Petra </w:t>
      </w:r>
      <w:proofErr w:type="spellStart"/>
      <w:r>
        <w:rPr>
          <w:rFonts w:ascii="Tahoma" w:eastAsia="Tahoma" w:hAnsi="Tahoma" w:cs="Tahoma"/>
          <w:b/>
          <w:color w:val="333333"/>
          <w:sz w:val="21"/>
          <w:szCs w:val="21"/>
        </w:rPr>
        <w:t>Ďurčíková</w:t>
      </w:r>
      <w:r>
        <w:rPr>
          <w:rFonts w:ascii="Tahoma" w:eastAsia="Tahoma" w:hAnsi="Tahoma" w:cs="Tahoma"/>
          <w:b/>
          <w:color w:val="CC9900"/>
          <w:sz w:val="21"/>
          <w:szCs w:val="21"/>
        </w:rPr>
        <w:t>_mediální</w:t>
      </w:r>
      <w:proofErr w:type="spellEnd"/>
      <w:r>
        <w:rPr>
          <w:rFonts w:ascii="Tahoma" w:eastAsia="Tahoma" w:hAnsi="Tahoma" w:cs="Tahoma"/>
          <w:b/>
          <w:color w:val="CC9900"/>
          <w:sz w:val="21"/>
          <w:szCs w:val="21"/>
        </w:rPr>
        <w:t xml:space="preserve"> konzultant</w:t>
      </w:r>
    </w:p>
    <w:p w14:paraId="106B6626" w14:textId="77777777" w:rsidR="00D04899" w:rsidRDefault="00000000">
      <w:pPr>
        <w:jc w:val="both"/>
        <w:rPr>
          <w:rFonts w:ascii="Tahoma" w:eastAsia="Tahoma" w:hAnsi="Tahoma" w:cs="Tahoma"/>
          <w:b/>
          <w:sz w:val="21"/>
          <w:szCs w:val="21"/>
        </w:rPr>
      </w:pPr>
      <w:r>
        <w:rPr>
          <w:noProof/>
        </w:rPr>
        <w:drawing>
          <wp:inline distT="0" distB="0" distL="0" distR="0" wp14:anchorId="2B87A0CB" wp14:editId="0D3066A3">
            <wp:extent cx="833755" cy="132715"/>
            <wp:effectExtent l="0" t="0" r="0" b="0"/>
            <wp:docPr id="1" name="image1.png" descr="pear_media logo_fin rgb_bez okraju.jpg"/>
            <wp:cNvGraphicFramePr/>
            <a:graphic xmlns:a="http://schemas.openxmlformats.org/drawingml/2006/main">
              <a:graphicData uri="http://schemas.openxmlformats.org/drawingml/2006/picture">
                <pic:pic xmlns:pic="http://schemas.openxmlformats.org/drawingml/2006/picture">
                  <pic:nvPicPr>
                    <pic:cNvPr id="0" name="image1.png" descr="pear_media logo_fin rgb_bez okraju.jpg"/>
                    <pic:cNvPicPr preferRelativeResize="0"/>
                  </pic:nvPicPr>
                  <pic:blipFill>
                    <a:blip r:embed="rId7"/>
                    <a:srcRect/>
                    <a:stretch>
                      <a:fillRect/>
                    </a:stretch>
                  </pic:blipFill>
                  <pic:spPr>
                    <a:xfrm>
                      <a:off x="0" y="0"/>
                      <a:ext cx="833755" cy="132715"/>
                    </a:xfrm>
                    <a:prstGeom prst="rect">
                      <a:avLst/>
                    </a:prstGeom>
                    <a:ln/>
                  </pic:spPr>
                </pic:pic>
              </a:graphicData>
            </a:graphic>
          </wp:inline>
        </w:drawing>
      </w:r>
    </w:p>
    <w:p w14:paraId="033A698B" w14:textId="77777777" w:rsidR="00D04899" w:rsidRDefault="00000000">
      <w:pPr>
        <w:pBdr>
          <w:bottom w:val="single" w:sz="4" w:space="1" w:color="000000"/>
        </w:pBdr>
        <w:jc w:val="both"/>
      </w:pPr>
      <w:r>
        <w:rPr>
          <w:rFonts w:ascii="Tahoma" w:eastAsia="Tahoma" w:hAnsi="Tahoma" w:cs="Tahoma"/>
          <w:b/>
          <w:sz w:val="21"/>
          <w:szCs w:val="21"/>
        </w:rPr>
        <w:t xml:space="preserve">+420 733 643 825, </w:t>
      </w:r>
      <w:hyperlink r:id="rId8">
        <w:r>
          <w:rPr>
            <w:rFonts w:ascii="Tahoma" w:eastAsia="Tahoma" w:hAnsi="Tahoma" w:cs="Tahoma"/>
            <w:b/>
            <w:color w:val="0000FF"/>
            <w:sz w:val="21"/>
            <w:szCs w:val="21"/>
            <w:u w:val="single"/>
          </w:rPr>
          <w:t>petra@pearmedia.cz</w:t>
        </w:r>
      </w:hyperlink>
      <w:r>
        <w:rPr>
          <w:rFonts w:ascii="Tahoma" w:eastAsia="Tahoma" w:hAnsi="Tahoma" w:cs="Tahoma"/>
          <w:b/>
          <w:sz w:val="21"/>
          <w:szCs w:val="21"/>
        </w:rPr>
        <w:t xml:space="preserve">, </w:t>
      </w:r>
      <w:hyperlink r:id="rId9">
        <w:r>
          <w:rPr>
            <w:rFonts w:ascii="Tahoma" w:eastAsia="Tahoma" w:hAnsi="Tahoma" w:cs="Tahoma"/>
            <w:b/>
            <w:color w:val="0000FF"/>
            <w:sz w:val="21"/>
            <w:szCs w:val="21"/>
            <w:u w:val="single"/>
          </w:rPr>
          <w:t>pearmedia.cz</w:t>
        </w:r>
      </w:hyperlink>
    </w:p>
    <w:p w14:paraId="72EFB3A3" w14:textId="77777777" w:rsidR="00D04899" w:rsidRDefault="00000000">
      <w:pPr>
        <w:jc w:val="both"/>
      </w:pPr>
      <w:r>
        <w:rPr>
          <w:rFonts w:ascii="Tahoma" w:eastAsia="Tahoma" w:hAnsi="Tahoma" w:cs="Tahoma"/>
          <w:b/>
          <w:sz w:val="18"/>
          <w:szCs w:val="18"/>
        </w:rPr>
        <w:t xml:space="preserve">SOUKROMÁ OČNÍ KLINIKA GEMINI, </w:t>
      </w:r>
      <w:hyperlink r:id="rId10">
        <w:r>
          <w:rPr>
            <w:rFonts w:ascii="Tahoma" w:eastAsia="Tahoma" w:hAnsi="Tahoma" w:cs="Tahoma"/>
            <w:b/>
            <w:color w:val="0000FF"/>
            <w:sz w:val="18"/>
            <w:szCs w:val="18"/>
            <w:u w:val="single"/>
          </w:rPr>
          <w:t>www.gemini.cz</w:t>
        </w:r>
      </w:hyperlink>
    </w:p>
    <w:p w14:paraId="70CB729E" w14:textId="77777777" w:rsidR="00D04899" w:rsidRDefault="00000000">
      <w:pPr>
        <w:jc w:val="both"/>
        <w:rPr>
          <w:rFonts w:ascii="Tahoma" w:eastAsia="Tahoma" w:hAnsi="Tahoma" w:cs="Tahoma"/>
          <w:sz w:val="18"/>
          <w:szCs w:val="18"/>
        </w:rPr>
      </w:pPr>
      <w:r>
        <w:rPr>
          <w:rFonts w:ascii="Tahoma" w:eastAsia="Tahoma" w:hAnsi="Tahoma" w:cs="Tahoma"/>
          <w:sz w:val="18"/>
          <w:szCs w:val="18"/>
        </w:rPr>
        <w:t xml:space="preserve">Soukromá oční klinika </w:t>
      </w:r>
      <w:proofErr w:type="spellStart"/>
      <w:r>
        <w:rPr>
          <w:rFonts w:ascii="Tahoma" w:eastAsia="Tahoma" w:hAnsi="Tahoma" w:cs="Tahoma"/>
          <w:sz w:val="18"/>
          <w:szCs w:val="18"/>
        </w:rPr>
        <w:t>Gemini</w:t>
      </w:r>
      <w:proofErr w:type="spellEnd"/>
      <w:r>
        <w:rPr>
          <w:rFonts w:ascii="Tahoma" w:eastAsia="Tahoma" w:hAnsi="Tahoma" w:cs="Tahoma"/>
          <w:sz w:val="18"/>
          <w:szCs w:val="18"/>
        </w:rPr>
        <w:t xml:space="preserve"> rozvíjí dlouholetou tradici zlínské oční chirurgie. První klinika byla otevřena ve Zlíně v roce 2003 a v současnosti provozuje klinika v České republice deset pracovišť: ve Zlíně, v Průhonicích u Prahy, Praze-Jinonicích, Českých Budějovicích, Ostravě, Vyškově, Brně, Novém Jičíně a Liberci. Jako jediná česká oční klinika otevřela pracoviště také ve Vídni. Vedle operací zbavujících pacienty potřeby nosit brýle a operací šedého zákalu se na klinikách provádějí i estetické zákroky, jako například plastika horních a dolních víček. V čele týmu operatérů stojí světově uznávaný oční chirurg prim. MUDr. Pavel Stodůlka, Ph.D., FEBOS-CR.</w:t>
      </w:r>
    </w:p>
    <w:p w14:paraId="47F918A6" w14:textId="77777777" w:rsidR="00D04899" w:rsidRDefault="00000000">
      <w:pPr>
        <w:jc w:val="both"/>
      </w:pPr>
      <w:r>
        <w:rPr>
          <w:rFonts w:ascii="Tahoma" w:eastAsia="Tahoma" w:hAnsi="Tahoma" w:cs="Tahoma"/>
          <w:b/>
          <w:sz w:val="18"/>
          <w:szCs w:val="18"/>
        </w:rPr>
        <w:t xml:space="preserve">prim. MUDr. PAVEL STODŮLKA, Ph.D., FEBOS-CR, </w:t>
      </w:r>
      <w:hyperlink r:id="rId11">
        <w:r>
          <w:rPr>
            <w:rFonts w:ascii="Tahoma" w:eastAsia="Tahoma" w:hAnsi="Tahoma" w:cs="Tahoma"/>
            <w:b/>
            <w:color w:val="0000FF"/>
            <w:sz w:val="18"/>
            <w:szCs w:val="18"/>
            <w:u w:val="single"/>
          </w:rPr>
          <w:t>www.lasik.cz</w:t>
        </w:r>
      </w:hyperlink>
    </w:p>
    <w:p w14:paraId="3A337EE2" w14:textId="4A41E7A2" w:rsidR="00D04899" w:rsidRDefault="00000000">
      <w:pPr>
        <w:jc w:val="both"/>
        <w:rPr>
          <w:rFonts w:ascii="Tahoma" w:eastAsia="Tahoma" w:hAnsi="Tahoma" w:cs="Tahoma"/>
          <w:sz w:val="18"/>
          <w:szCs w:val="18"/>
        </w:rPr>
      </w:pPr>
      <w:bookmarkStart w:id="1" w:name="_2e4qcxbxtorf" w:colFirst="0" w:colLast="0"/>
      <w:bookmarkEnd w:id="1"/>
      <w:r>
        <w:rPr>
          <w:rFonts w:ascii="Tahoma" w:eastAsia="Tahoma" w:hAnsi="Tahoma" w:cs="Tahoma"/>
          <w:sz w:val="18"/>
          <w:szCs w:val="18"/>
        </w:rPr>
        <w:t xml:space="preserve">Studium medicíny na Univerzitě Palackého v Olomouci ukončil v roce 1989 s vyznamenáním a pochvalou rektora. V roce 2000 absolvoval postgraduální studium na Lékařské fakultě Univerzity Karlovy v Hradci Králové s tématem disertace metoda LASIK, kterou v ČR zavedl. Zkušenosti s oční chirurgií sbíral i po světě, hlavně v Kanadě. Působil jako přednosta očního oddělení Baťovy nemocnice ve Zlíně. V roce 2003 založil soukromou oční kliniku </w:t>
      </w:r>
      <w:proofErr w:type="spellStart"/>
      <w:r>
        <w:rPr>
          <w:rFonts w:ascii="Tahoma" w:eastAsia="Tahoma" w:hAnsi="Tahoma" w:cs="Tahoma"/>
          <w:sz w:val="18"/>
          <w:szCs w:val="18"/>
        </w:rPr>
        <w:t>Gemini</w:t>
      </w:r>
      <w:proofErr w:type="spellEnd"/>
      <w:r>
        <w:rPr>
          <w:rFonts w:ascii="Tahoma" w:eastAsia="Tahoma" w:hAnsi="Tahoma" w:cs="Tahoma"/>
          <w:sz w:val="18"/>
          <w:szCs w:val="18"/>
        </w:rPr>
        <w:t xml:space="preserve"> – největší soukromou oční kliniku v Česku. Několik očních operací, například centraci vychýlené lidské čočky, implantaci presbyopické </w:t>
      </w:r>
      <w:proofErr w:type="spellStart"/>
      <w:r>
        <w:rPr>
          <w:rFonts w:ascii="Tahoma" w:eastAsia="Tahoma" w:hAnsi="Tahoma" w:cs="Tahoma"/>
          <w:sz w:val="18"/>
          <w:szCs w:val="18"/>
        </w:rPr>
        <w:t>fakické</w:t>
      </w:r>
      <w:proofErr w:type="spellEnd"/>
      <w:r>
        <w:rPr>
          <w:rFonts w:ascii="Tahoma" w:eastAsia="Tahoma" w:hAnsi="Tahoma" w:cs="Tahoma"/>
          <w:sz w:val="18"/>
          <w:szCs w:val="18"/>
        </w:rPr>
        <w:t xml:space="preserve"> čočky nebo odstranění vetchozrakosti pomocí laseru </w:t>
      </w:r>
      <w:proofErr w:type="spellStart"/>
      <w:r>
        <w:rPr>
          <w:rFonts w:ascii="Tahoma" w:eastAsia="Tahoma" w:hAnsi="Tahoma" w:cs="Tahoma"/>
          <w:sz w:val="18"/>
          <w:szCs w:val="18"/>
        </w:rPr>
        <w:t>ReLEx</w:t>
      </w:r>
      <w:proofErr w:type="spellEnd"/>
      <w:r>
        <w:rPr>
          <w:rFonts w:ascii="Tahoma" w:eastAsia="Tahoma" w:hAnsi="Tahoma" w:cs="Tahoma"/>
          <w:sz w:val="18"/>
          <w:szCs w:val="18"/>
        </w:rPr>
        <w:t xml:space="preserve"> Smile, provedl jako první oční chirurg na světě a řadu očních operací zavedl jako první v Česku. Vyvíjí nové lasery pro oční chirurgii, jako např. </w:t>
      </w:r>
      <w:proofErr w:type="spellStart"/>
      <w:r>
        <w:rPr>
          <w:rFonts w:ascii="Tahoma" w:eastAsia="Tahoma" w:hAnsi="Tahoma" w:cs="Tahoma"/>
          <w:sz w:val="18"/>
          <w:szCs w:val="18"/>
        </w:rPr>
        <w:t>CAPSULaser</w:t>
      </w:r>
      <w:proofErr w:type="spellEnd"/>
      <w:r>
        <w:rPr>
          <w:rFonts w:ascii="Tahoma" w:eastAsia="Tahoma" w:hAnsi="Tahoma" w:cs="Tahoma"/>
          <w:sz w:val="18"/>
          <w:szCs w:val="18"/>
        </w:rPr>
        <w:t xml:space="preserve">. Přednáší na prestižních mezinárodních očních kongresech, vyučuje v kurzech pro zahraniční oční lékaře. V roce 2017 jako první lékař v České republice složil zkoušku FEBOS-CR. V letech 2022 až 2024 byl evropským prezidentem odborné společnosti </w:t>
      </w:r>
      <w:proofErr w:type="gramStart"/>
      <w:r>
        <w:rPr>
          <w:rFonts w:ascii="Tahoma" w:eastAsia="Tahoma" w:hAnsi="Tahoma" w:cs="Tahoma"/>
          <w:sz w:val="18"/>
          <w:szCs w:val="18"/>
        </w:rPr>
        <w:t>AECOS - Americko</w:t>
      </w:r>
      <w:proofErr w:type="gramEnd"/>
      <w:r>
        <w:rPr>
          <w:rFonts w:ascii="Tahoma" w:eastAsia="Tahoma" w:hAnsi="Tahoma" w:cs="Tahoma"/>
          <w:sz w:val="18"/>
          <w:szCs w:val="18"/>
        </w:rPr>
        <w:t xml:space="preserve">-evropský kongres oční chirurgie. V roce 2019 si Pavel Stodůlka na své konto připsal další dvě světová prvenství – jako první oční chirurg na světě provedl operaci šedého zákalu novým </w:t>
      </w:r>
      <w:proofErr w:type="spellStart"/>
      <w:r>
        <w:rPr>
          <w:rFonts w:ascii="Tahoma" w:eastAsia="Tahoma" w:hAnsi="Tahoma" w:cs="Tahoma"/>
          <w:sz w:val="18"/>
          <w:szCs w:val="18"/>
        </w:rPr>
        <w:t>femtomatrixovým</w:t>
      </w:r>
      <w:proofErr w:type="spellEnd"/>
      <w:r>
        <w:rPr>
          <w:rFonts w:ascii="Tahoma" w:eastAsia="Tahoma" w:hAnsi="Tahoma" w:cs="Tahoma"/>
          <w:sz w:val="18"/>
          <w:szCs w:val="18"/>
        </w:rPr>
        <w:t xml:space="preserve"> laserem, který jako jediný disponuje robotickým ramenem a zároveň je nejrychlejším na světě. Druhým prvenstvím byla operace, takzvaná rotace </w:t>
      </w:r>
      <w:proofErr w:type="spellStart"/>
      <w:r>
        <w:rPr>
          <w:rFonts w:ascii="Tahoma" w:eastAsia="Tahoma" w:hAnsi="Tahoma" w:cs="Tahoma"/>
          <w:sz w:val="18"/>
          <w:szCs w:val="18"/>
        </w:rPr>
        <w:t>lentikuly</w:t>
      </w:r>
      <w:proofErr w:type="spellEnd"/>
      <w:r>
        <w:rPr>
          <w:rFonts w:ascii="Tahoma" w:eastAsia="Tahoma" w:hAnsi="Tahoma" w:cs="Tahoma"/>
          <w:sz w:val="18"/>
          <w:szCs w:val="18"/>
        </w:rPr>
        <w:t xml:space="preserve">, která sníží astigmatismus oka </w:t>
      </w:r>
      <w:r>
        <w:rPr>
          <w:rFonts w:ascii="Tahoma" w:eastAsia="Tahoma" w:hAnsi="Tahoma" w:cs="Tahoma"/>
          <w:sz w:val="18"/>
          <w:szCs w:val="18"/>
        </w:rPr>
        <w:lastRenderedPageBreak/>
        <w:t xml:space="preserve">pacienta (nesprávné zakřivení rohovky).  V roce 2024 provedl první oficiální operaci vysoké dalekozrakosti </w:t>
      </w:r>
      <w:proofErr w:type="spellStart"/>
      <w:r>
        <w:rPr>
          <w:rFonts w:ascii="Tahoma" w:eastAsia="Tahoma" w:hAnsi="Tahoma" w:cs="Tahoma"/>
          <w:sz w:val="18"/>
          <w:szCs w:val="18"/>
        </w:rPr>
        <w:t>hyperopickým</w:t>
      </w:r>
      <w:proofErr w:type="spellEnd"/>
      <w:r>
        <w:rPr>
          <w:rFonts w:ascii="Tahoma" w:eastAsia="Tahoma" w:hAnsi="Tahoma" w:cs="Tahoma"/>
          <w:sz w:val="18"/>
          <w:szCs w:val="18"/>
        </w:rPr>
        <w:t xml:space="preserve"> </w:t>
      </w:r>
      <w:proofErr w:type="spellStart"/>
      <w:r>
        <w:rPr>
          <w:rFonts w:ascii="Tahoma" w:eastAsia="Tahoma" w:hAnsi="Tahoma" w:cs="Tahoma"/>
          <w:sz w:val="18"/>
          <w:szCs w:val="18"/>
        </w:rPr>
        <w:t>ReLEx</w:t>
      </w:r>
      <w:proofErr w:type="spellEnd"/>
      <w:r>
        <w:rPr>
          <w:rFonts w:ascii="Tahoma" w:eastAsia="Tahoma" w:hAnsi="Tahoma" w:cs="Tahoma"/>
          <w:sz w:val="18"/>
          <w:szCs w:val="18"/>
        </w:rPr>
        <w:t xml:space="preserve"> SMILE na světe. Pravidelně se umisťuje v žebříčku nejoblíbenějších lékařů v Rakousku, v roce 2024 byl zvolen již pošesté. Jako první oční chirurg provedl laserovou operaci očí metodou CLEAR v Česku a Rakousku. Od roku 2022 je nositelem medaile Za zásluhy 1. stupně. Koncem roku 2022 převzal v Římě cenu prof. Emilia </w:t>
      </w:r>
      <w:proofErr w:type="spellStart"/>
      <w:r>
        <w:rPr>
          <w:rFonts w:ascii="Tahoma" w:eastAsia="Tahoma" w:hAnsi="Tahoma" w:cs="Tahoma"/>
          <w:sz w:val="18"/>
          <w:szCs w:val="18"/>
        </w:rPr>
        <w:t>Campose</w:t>
      </w:r>
      <w:proofErr w:type="spellEnd"/>
      <w:r>
        <w:rPr>
          <w:rFonts w:ascii="Tahoma" w:eastAsia="Tahoma" w:hAnsi="Tahoma" w:cs="Tahoma"/>
          <w:sz w:val="18"/>
          <w:szCs w:val="18"/>
        </w:rPr>
        <w:t xml:space="preserve"> za inovace v oftalmologii. Je členem výboru nejvýznamnější evropské odborné společnosti očních chirurgů </w:t>
      </w:r>
      <w:proofErr w:type="gramStart"/>
      <w:r>
        <w:rPr>
          <w:rFonts w:ascii="Tahoma" w:eastAsia="Tahoma" w:hAnsi="Tahoma" w:cs="Tahoma"/>
          <w:sz w:val="18"/>
          <w:szCs w:val="18"/>
        </w:rPr>
        <w:t xml:space="preserve">ESCRS - </w:t>
      </w:r>
      <w:proofErr w:type="spellStart"/>
      <w:r>
        <w:rPr>
          <w:rFonts w:ascii="Tahoma" w:eastAsia="Tahoma" w:hAnsi="Tahoma" w:cs="Tahoma"/>
          <w:sz w:val="18"/>
          <w:szCs w:val="18"/>
        </w:rPr>
        <w:t>European</w:t>
      </w:r>
      <w:proofErr w:type="spellEnd"/>
      <w:proofErr w:type="gramEnd"/>
      <w:r>
        <w:rPr>
          <w:rFonts w:ascii="Tahoma" w:eastAsia="Tahoma" w:hAnsi="Tahoma" w:cs="Tahoma"/>
          <w:sz w:val="18"/>
          <w:szCs w:val="18"/>
        </w:rPr>
        <w:t xml:space="preserve"> Society </w:t>
      </w:r>
      <w:proofErr w:type="spellStart"/>
      <w:r>
        <w:rPr>
          <w:rFonts w:ascii="Tahoma" w:eastAsia="Tahoma" w:hAnsi="Tahoma" w:cs="Tahoma"/>
          <w:sz w:val="18"/>
          <w:szCs w:val="18"/>
        </w:rPr>
        <w:t>of</w:t>
      </w:r>
      <w:proofErr w:type="spellEnd"/>
      <w:r>
        <w:rPr>
          <w:rFonts w:ascii="Tahoma" w:eastAsia="Tahoma" w:hAnsi="Tahoma" w:cs="Tahoma"/>
          <w:sz w:val="18"/>
          <w:szCs w:val="18"/>
        </w:rPr>
        <w:t xml:space="preserve"> </w:t>
      </w:r>
      <w:proofErr w:type="spellStart"/>
      <w:r>
        <w:rPr>
          <w:rFonts w:ascii="Tahoma" w:eastAsia="Tahoma" w:hAnsi="Tahoma" w:cs="Tahoma"/>
          <w:sz w:val="18"/>
          <w:szCs w:val="18"/>
        </w:rPr>
        <w:t>Cataract</w:t>
      </w:r>
      <w:proofErr w:type="spellEnd"/>
      <w:r>
        <w:rPr>
          <w:rFonts w:ascii="Tahoma" w:eastAsia="Tahoma" w:hAnsi="Tahoma" w:cs="Tahoma"/>
          <w:sz w:val="18"/>
          <w:szCs w:val="18"/>
        </w:rPr>
        <w:t xml:space="preserve"> and </w:t>
      </w:r>
      <w:proofErr w:type="spellStart"/>
      <w:r>
        <w:rPr>
          <w:rFonts w:ascii="Tahoma" w:eastAsia="Tahoma" w:hAnsi="Tahoma" w:cs="Tahoma"/>
          <w:sz w:val="18"/>
          <w:szCs w:val="18"/>
        </w:rPr>
        <w:t>Refractive</w:t>
      </w:r>
      <w:proofErr w:type="spellEnd"/>
      <w:r>
        <w:rPr>
          <w:rFonts w:ascii="Tahoma" w:eastAsia="Tahoma" w:hAnsi="Tahoma" w:cs="Tahoma"/>
          <w:sz w:val="18"/>
          <w:szCs w:val="18"/>
        </w:rPr>
        <w:t xml:space="preserve"> </w:t>
      </w:r>
      <w:proofErr w:type="spellStart"/>
      <w:r>
        <w:rPr>
          <w:rFonts w:ascii="Tahoma" w:eastAsia="Tahoma" w:hAnsi="Tahoma" w:cs="Tahoma"/>
          <w:sz w:val="18"/>
          <w:szCs w:val="18"/>
        </w:rPr>
        <w:t>Surgeons</w:t>
      </w:r>
      <w:proofErr w:type="spellEnd"/>
      <w:r>
        <w:rPr>
          <w:rFonts w:ascii="Tahoma" w:eastAsia="Tahoma" w:hAnsi="Tahoma" w:cs="Tahoma"/>
          <w:sz w:val="18"/>
          <w:szCs w:val="18"/>
        </w:rPr>
        <w:t xml:space="preserve">. Od roku 2025 zastává funkci </w:t>
      </w:r>
      <w:proofErr w:type="spellStart"/>
      <w:r>
        <w:rPr>
          <w:rFonts w:ascii="Tahoma" w:eastAsia="Tahoma" w:hAnsi="Tahoma" w:cs="Tahoma"/>
          <w:sz w:val="18"/>
          <w:szCs w:val="18"/>
        </w:rPr>
        <w:t>Tresurer</w:t>
      </w:r>
      <w:proofErr w:type="spellEnd"/>
      <w:r>
        <w:rPr>
          <w:rFonts w:ascii="Tahoma" w:eastAsia="Tahoma" w:hAnsi="Tahoma" w:cs="Tahoma"/>
          <w:sz w:val="18"/>
          <w:szCs w:val="18"/>
        </w:rPr>
        <w:t>, která patří mezi klíčové pozice v nejvyšším vedení této společnosti.</w:t>
      </w:r>
    </w:p>
    <w:p w14:paraId="64977120" w14:textId="77777777" w:rsidR="00D04899" w:rsidRDefault="00D04899">
      <w:pPr>
        <w:jc w:val="both"/>
        <w:rPr>
          <w:rFonts w:ascii="Tahoma" w:eastAsia="Tahoma" w:hAnsi="Tahoma" w:cs="Tahoma"/>
          <w:sz w:val="18"/>
          <w:szCs w:val="18"/>
        </w:rPr>
      </w:pPr>
    </w:p>
    <w:p w14:paraId="20DBCE57" w14:textId="77777777" w:rsidR="00D04899" w:rsidRDefault="00D04899"/>
    <w:sectPr w:rsidR="00D04899">
      <w:headerReference w:type="default" r:id="rId12"/>
      <w:footerReference w:type="default" r:id="rId13"/>
      <w:pgSz w:w="11906" w:h="16838"/>
      <w:pgMar w:top="1700"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DF05F" w14:textId="77777777" w:rsidR="00E05B47" w:rsidRDefault="00E05B47">
      <w:pPr>
        <w:spacing w:after="0" w:line="240" w:lineRule="auto"/>
      </w:pPr>
      <w:r>
        <w:separator/>
      </w:r>
    </w:p>
  </w:endnote>
  <w:endnote w:type="continuationSeparator" w:id="0">
    <w:p w14:paraId="1DEA24EC" w14:textId="77777777" w:rsidR="00E05B47" w:rsidRDefault="00E0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7C01" w14:textId="77777777" w:rsidR="00D04899" w:rsidRDefault="00D04899">
    <w:pPr>
      <w:pBdr>
        <w:top w:val="nil"/>
        <w:left w:val="nil"/>
        <w:bottom w:val="nil"/>
        <w:right w:val="nil"/>
        <w:between w:val="nil"/>
      </w:pBdr>
      <w:tabs>
        <w:tab w:val="center" w:pos="4536"/>
        <w:tab w:val="right" w:pos="9072"/>
      </w:tabs>
      <w:spacing w:after="0" w:line="240" w:lineRule="auto"/>
      <w:rPr>
        <w:color w:val="000000"/>
      </w:rPr>
    </w:pPr>
  </w:p>
  <w:p w14:paraId="093BEE76" w14:textId="77777777" w:rsidR="00D04899" w:rsidRDefault="00D0489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AC86" w14:textId="77777777" w:rsidR="00E05B47" w:rsidRDefault="00E05B47">
      <w:pPr>
        <w:spacing w:after="0" w:line="240" w:lineRule="auto"/>
      </w:pPr>
      <w:r>
        <w:separator/>
      </w:r>
    </w:p>
  </w:footnote>
  <w:footnote w:type="continuationSeparator" w:id="0">
    <w:p w14:paraId="7C68DFA4" w14:textId="77777777" w:rsidR="00E05B47" w:rsidRDefault="00E0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3572"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36"/>
        <w:szCs w:val="36"/>
      </w:rPr>
    </w:pPr>
  </w:p>
  <w:p w14:paraId="73143678" w14:textId="77777777" w:rsidR="00D04899" w:rsidRDefault="00000000">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36"/>
        <w:szCs w:val="36"/>
      </w:rPr>
    </w:pPr>
    <w:r>
      <w:rPr>
        <w:b/>
        <w:noProof/>
        <w:color w:val="000000"/>
        <w:sz w:val="36"/>
        <w:szCs w:val="36"/>
      </w:rPr>
      <w:drawing>
        <wp:inline distT="0" distB="0" distL="0" distR="0" wp14:anchorId="4F65B81E" wp14:editId="0C5533AA">
          <wp:extent cx="3105193" cy="600083"/>
          <wp:effectExtent l="0" t="0" r="0" b="0"/>
          <wp:docPr id="2" name="image2.png" descr="C:\Users\Notebook\Downloads\logo_gemini_ocni_klinika_RGB.jpg"/>
          <wp:cNvGraphicFramePr/>
          <a:graphic xmlns:a="http://schemas.openxmlformats.org/drawingml/2006/main">
            <a:graphicData uri="http://schemas.openxmlformats.org/drawingml/2006/picture">
              <pic:pic xmlns:pic="http://schemas.openxmlformats.org/drawingml/2006/picture">
                <pic:nvPicPr>
                  <pic:cNvPr id="0" name="image2.png" descr="C:\Users\Notebook\Downloads\logo_gemini_ocni_klinika_RGB.jpg"/>
                  <pic:cNvPicPr preferRelativeResize="0"/>
                </pic:nvPicPr>
                <pic:blipFill>
                  <a:blip r:embed="rId1"/>
                  <a:srcRect l="13756" t="36594" r="13051" b="35865"/>
                  <a:stretch>
                    <a:fillRect/>
                  </a:stretch>
                </pic:blipFill>
                <pic:spPr>
                  <a:xfrm>
                    <a:off x="0" y="0"/>
                    <a:ext cx="3105193" cy="600083"/>
                  </a:xfrm>
                  <a:prstGeom prst="rect">
                    <a:avLst/>
                  </a:prstGeom>
                  <a:ln/>
                </pic:spPr>
              </pic:pic>
            </a:graphicData>
          </a:graphic>
        </wp:inline>
      </w:drawing>
    </w:r>
    <w:r>
      <w:rPr>
        <w:b/>
        <w:color w:val="000000"/>
        <w:sz w:val="36"/>
        <w:szCs w:val="36"/>
      </w:rPr>
      <w:tab/>
      <w:t>TISKOVÁ ZPRÁVA</w:t>
    </w:r>
  </w:p>
  <w:p w14:paraId="697A948D"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1EA1C1E9"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3E98D592"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08461849"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041E5E9F"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1C20B2C9"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2D778543"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5D4036AD"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037E74CD"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255389CE"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10DA798F"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28760EA2"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541C32B8"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58D29CD3"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22D73EA5"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368AFA50" w14:textId="77777777" w:rsidR="00D04899" w:rsidRDefault="00D04899">
    <w:pPr>
      <w:pBdr>
        <w:top w:val="nil"/>
        <w:left w:val="nil"/>
        <w:bottom w:val="nil"/>
        <w:right w:val="nil"/>
        <w:between w:val="nil"/>
      </w:pBdr>
      <w:tabs>
        <w:tab w:val="left" w:pos="1680"/>
        <w:tab w:val="left" w:pos="1740"/>
        <w:tab w:val="center" w:pos="4536"/>
        <w:tab w:val="right" w:pos="9072"/>
        <w:tab w:val="left" w:pos="3615"/>
      </w:tabs>
      <w:spacing w:after="0" w:line="240" w:lineRule="auto"/>
      <w:jc w:val="both"/>
      <w:rPr>
        <w:b/>
        <w:color w:val="000000"/>
        <w:sz w:val="2"/>
        <w:szCs w:val="2"/>
      </w:rPr>
    </w:pPr>
  </w:p>
  <w:p w14:paraId="0CB195A6" w14:textId="77777777" w:rsidR="00D04899" w:rsidRDefault="00D04899">
    <w:pPr>
      <w:pBdr>
        <w:top w:val="nil"/>
        <w:left w:val="nil"/>
        <w:bottom w:val="nil"/>
        <w:right w:val="nil"/>
        <w:between w:val="nil"/>
      </w:pBdr>
      <w:tabs>
        <w:tab w:val="center" w:pos="4536"/>
        <w:tab w:val="right" w:pos="9072"/>
        <w:tab w:val="left" w:pos="3615"/>
      </w:tabs>
      <w:spacing w:after="0" w:line="240" w:lineRule="auto"/>
      <w:jc w:val="both"/>
      <w:rPr>
        <w:b/>
        <w:color w:val="000000"/>
        <w:sz w:val="2"/>
        <w:szCs w:val="2"/>
      </w:rPr>
    </w:pPr>
  </w:p>
  <w:p w14:paraId="13C6B8D4" w14:textId="77777777" w:rsidR="00D04899" w:rsidRDefault="00D04899">
    <w:pPr>
      <w:pBdr>
        <w:top w:val="nil"/>
        <w:left w:val="nil"/>
        <w:bottom w:val="nil"/>
        <w:right w:val="nil"/>
        <w:between w:val="nil"/>
      </w:pBdr>
      <w:tabs>
        <w:tab w:val="center" w:pos="4536"/>
        <w:tab w:val="right" w:pos="9072"/>
        <w:tab w:val="left" w:pos="3615"/>
      </w:tabs>
      <w:spacing w:after="0" w:line="240" w:lineRule="auto"/>
      <w:jc w:val="both"/>
      <w:rPr>
        <w:b/>
        <w:color w:val="000000"/>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99"/>
    <w:rsid w:val="0068584F"/>
    <w:rsid w:val="008F6F14"/>
    <w:rsid w:val="00D04899"/>
    <w:rsid w:val="00E05B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7C01"/>
  <w15:docId w15:val="{5F98E7CB-3849-424C-BD2A-55A06C3E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360" w:after="80" w:line="278" w:lineRule="auto"/>
      <w:outlineLvl w:val="0"/>
    </w:pPr>
    <w:rPr>
      <w:color w:val="2F5496"/>
      <w:sz w:val="40"/>
      <w:szCs w:val="40"/>
    </w:rPr>
  </w:style>
  <w:style w:type="paragraph" w:styleId="Nadpis2">
    <w:name w:val="heading 2"/>
    <w:basedOn w:val="Normln"/>
    <w:next w:val="Normln"/>
    <w:uiPriority w:val="9"/>
    <w:semiHidden/>
    <w:unhideWhenUsed/>
    <w:qFormat/>
    <w:pPr>
      <w:keepNext/>
      <w:keepLines/>
      <w:spacing w:before="160" w:after="80" w:line="278" w:lineRule="auto"/>
      <w:outlineLvl w:val="1"/>
    </w:pPr>
    <w:rPr>
      <w:color w:val="2F5496"/>
      <w:sz w:val="32"/>
      <w:szCs w:val="32"/>
    </w:rPr>
  </w:style>
  <w:style w:type="paragraph" w:styleId="Nadpis3">
    <w:name w:val="heading 3"/>
    <w:basedOn w:val="Normln"/>
    <w:next w:val="Normln"/>
    <w:uiPriority w:val="9"/>
    <w:semiHidden/>
    <w:unhideWhenUsed/>
    <w:qFormat/>
    <w:pPr>
      <w:keepNext/>
      <w:keepLines/>
      <w:spacing w:before="160" w:after="80" w:line="278" w:lineRule="auto"/>
      <w:outlineLvl w:val="2"/>
    </w:pPr>
    <w:rPr>
      <w:color w:val="2F5496"/>
      <w:sz w:val="28"/>
      <w:szCs w:val="28"/>
    </w:rPr>
  </w:style>
  <w:style w:type="paragraph" w:styleId="Nadpis4">
    <w:name w:val="heading 4"/>
    <w:basedOn w:val="Normln"/>
    <w:next w:val="Normln"/>
    <w:uiPriority w:val="9"/>
    <w:semiHidden/>
    <w:unhideWhenUsed/>
    <w:qFormat/>
    <w:pPr>
      <w:keepNext/>
      <w:keepLines/>
      <w:spacing w:before="80" w:after="40" w:line="278" w:lineRule="auto"/>
      <w:outlineLvl w:val="3"/>
    </w:pPr>
    <w:rPr>
      <w:i/>
      <w:color w:val="2F5496"/>
      <w:sz w:val="24"/>
      <w:szCs w:val="24"/>
    </w:rPr>
  </w:style>
  <w:style w:type="paragraph" w:styleId="Nadpis5">
    <w:name w:val="heading 5"/>
    <w:basedOn w:val="Normln"/>
    <w:next w:val="Normln"/>
    <w:uiPriority w:val="9"/>
    <w:semiHidden/>
    <w:unhideWhenUsed/>
    <w:qFormat/>
    <w:pPr>
      <w:keepNext/>
      <w:keepLines/>
      <w:spacing w:before="80" w:after="40" w:line="278" w:lineRule="auto"/>
      <w:outlineLvl w:val="4"/>
    </w:pPr>
    <w:rPr>
      <w:color w:val="2F5496"/>
      <w:sz w:val="24"/>
      <w:szCs w:val="24"/>
    </w:rPr>
  </w:style>
  <w:style w:type="paragraph" w:styleId="Nadpis6">
    <w:name w:val="heading 6"/>
    <w:basedOn w:val="Normln"/>
    <w:next w:val="Normln"/>
    <w:uiPriority w:val="9"/>
    <w:semiHidden/>
    <w:unhideWhenUsed/>
    <w:qFormat/>
    <w:pPr>
      <w:keepNext/>
      <w:keepLines/>
      <w:spacing w:before="40" w:after="0" w:line="278" w:lineRule="auto"/>
      <w:outlineLvl w:val="5"/>
    </w:pPr>
    <w:rPr>
      <w:i/>
      <w:color w:val="595959"/>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spacing w:after="80" w:line="240" w:lineRule="auto"/>
    </w:pPr>
    <w:rPr>
      <w:sz w:val="56"/>
      <w:szCs w:val="56"/>
    </w:rPr>
  </w:style>
  <w:style w:type="paragraph" w:styleId="Podnadpis">
    <w:name w:val="Subtitle"/>
    <w:basedOn w:val="Normln"/>
    <w:next w:val="Normln"/>
    <w:uiPriority w:val="11"/>
    <w:qFormat/>
    <w:pPr>
      <w:spacing w:after="160" w:line="278" w:lineRule="auto"/>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etra@pearmedia.cz"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mini.cz/" TargetMode="External"/><Relationship Id="rId11" Type="http://schemas.openxmlformats.org/officeDocument/2006/relationships/hyperlink" Target="http://www.lasik.cz/cs/zivotopis/"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gemini.cz/" TargetMode="External"/><Relationship Id="rId4" Type="http://schemas.openxmlformats.org/officeDocument/2006/relationships/footnotes" Target="footnotes.xml"/><Relationship Id="rId9" Type="http://schemas.openxmlformats.org/officeDocument/2006/relationships/hyperlink" Target="http://www.pearmedia.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1100</Words>
  <Characters>6492</Characters>
  <Application>Microsoft Office Word</Application>
  <DocSecurity>0</DocSecurity>
  <Lines>54</Lines>
  <Paragraphs>15</Paragraphs>
  <ScaleCrop>false</ScaleCrop>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Petra Ďurčíková</cp:lastModifiedBy>
  <cp:revision>2</cp:revision>
  <dcterms:created xsi:type="dcterms:W3CDTF">2025-04-16T07:54:00Z</dcterms:created>
  <dcterms:modified xsi:type="dcterms:W3CDTF">2025-04-16T07:54:00Z</dcterms:modified>
</cp:coreProperties>
</file>