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68E9" w14:textId="77777777" w:rsidR="00CF3AB7" w:rsidRPr="00055AEA" w:rsidRDefault="00CF3AB7" w:rsidP="00CF3AB7">
      <w:pPr>
        <w:pStyle w:val="Nzev"/>
        <w:spacing w:line="276" w:lineRule="auto"/>
        <w:jc w:val="center"/>
        <w:rPr>
          <w:rFonts w:ascii="Tahoma" w:hAnsi="Tahoma" w:cs="Tahoma"/>
          <w:b/>
          <w:bCs/>
          <w:sz w:val="44"/>
          <w:szCs w:val="44"/>
        </w:rPr>
      </w:pPr>
      <w:r>
        <w:rPr>
          <w:rFonts w:ascii="Tahoma" w:hAnsi="Tahoma" w:cs="Tahoma"/>
          <w:b/>
          <w:bCs/>
          <w:sz w:val="44"/>
          <w:szCs w:val="44"/>
        </w:rPr>
        <w:t>Cena zlata raketově stoupá. Vyšplhat by se mohla až ke třem tisícům dolarů za unci</w:t>
      </w:r>
    </w:p>
    <w:p w14:paraId="30859B2C" w14:textId="77777777" w:rsidR="00CF3AB7" w:rsidRPr="00055AEA" w:rsidRDefault="00CF3AB7" w:rsidP="00CF3AB7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109EA960" w14:textId="77777777" w:rsidR="00CF3AB7" w:rsidRPr="00055AEA" w:rsidRDefault="00CF3AB7" w:rsidP="00CF3AB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55A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6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BŘEZNA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</w:t>
      </w:r>
      <w:proofErr w:type="gramStart"/>
      <w:r w:rsidRPr="00055AEA">
        <w:rPr>
          <w:rFonts w:ascii="Tahoma" w:eastAsia="Tahoma" w:hAnsi="Tahoma" w:cs="Tahoma"/>
          <w:b/>
          <w:sz w:val="21"/>
          <w:szCs w:val="21"/>
        </w:rPr>
        <w:t xml:space="preserve">2024 – </w:t>
      </w:r>
      <w:r>
        <w:rPr>
          <w:rFonts w:ascii="Tahoma" w:eastAsia="Tahoma" w:hAnsi="Tahoma" w:cs="Tahoma"/>
          <w:b/>
          <w:sz w:val="21"/>
          <w:szCs w:val="21"/>
        </w:rPr>
        <w:t>V</w:t>
      </w:r>
      <w:proofErr w:type="gramEnd"/>
      <w:r>
        <w:rPr>
          <w:rFonts w:ascii="Tahoma" w:eastAsia="Tahoma" w:hAnsi="Tahoma" w:cs="Tahoma"/>
          <w:b/>
          <w:sz w:val="21"/>
          <w:szCs w:val="21"/>
        </w:rPr>
        <w:t> posledních dnech cena zlata dramaticky vzrostla a aktuálně atakuje hranici 50 tisíc korun za trojskou unci, tedy zhruba 2100 amerických dolarů</w:t>
      </w:r>
      <w:r w:rsidRPr="00055AEA">
        <w:rPr>
          <w:rFonts w:ascii="Tahoma" w:eastAsia="Tahoma" w:hAnsi="Tahoma" w:cs="Tahoma"/>
          <w:b/>
          <w:sz w:val="21"/>
          <w:szCs w:val="21"/>
        </w:rPr>
        <w:t>.</w:t>
      </w:r>
      <w:r>
        <w:rPr>
          <w:rFonts w:ascii="Tahoma" w:eastAsia="Tahoma" w:hAnsi="Tahoma" w:cs="Tahoma"/>
          <w:b/>
          <w:sz w:val="21"/>
          <w:szCs w:val="21"/>
        </w:rPr>
        <w:t xml:space="preserve"> Odborníci predikují, že by se do roku 2028 mohla vyšplhat až k hranici tří tisíc dolarů za unci.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31D478CE" w14:textId="77777777" w:rsidR="00CF3AB7" w:rsidRPr="00055AEA" w:rsidRDefault="00CF3AB7" w:rsidP="00CF3AB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Odhadnout vývoj ceny zlata není nic jednoduchého, ovlivňuje ji totiž hned několik faktorů</w:t>
      </w:r>
      <w:r w:rsidRPr="00055AEA">
        <w:rPr>
          <w:rFonts w:ascii="Tahoma" w:eastAsia="Tahoma" w:hAnsi="Tahoma" w:cs="Tahoma"/>
          <w:bCs/>
          <w:sz w:val="21"/>
          <w:szCs w:val="21"/>
        </w:rPr>
        <w:t xml:space="preserve">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Cena zlata v </w:t>
      </w:r>
      <w:r>
        <w:rPr>
          <w:rFonts w:ascii="Tahoma" w:eastAsia="Tahoma" w:hAnsi="Tahoma" w:cs="Tahoma"/>
          <w:color w:val="CC9900"/>
          <w:sz w:val="21"/>
          <w:szCs w:val="21"/>
        </w:rPr>
        <w:t>korunách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 se odvíjí od toho, jaký je momentální kurz dolaru na burze. Pokud bychom chtěli zjistit, jaká je cena zlata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>korunách</w:t>
      </w:r>
      <w:r>
        <w:rPr>
          <w:rFonts w:ascii="Tahoma" w:eastAsia="Tahoma" w:hAnsi="Tahoma" w:cs="Tahoma"/>
          <w:color w:val="CC9900"/>
          <w:sz w:val="21"/>
          <w:szCs w:val="21"/>
        </w:rPr>
        <w:t>, je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 třeba dolar přepočítat podle aktuálního kurzu.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Aktuální kurz zlata ovlivňuje hned několik faktorů. Mezi nejvýznamnějšího činitele patří </w:t>
      </w:r>
      <w:r>
        <w:rPr>
          <w:rFonts w:ascii="Tahoma" w:eastAsia="Tahoma" w:hAnsi="Tahoma" w:cs="Tahoma"/>
          <w:color w:val="CC9900"/>
          <w:sz w:val="21"/>
          <w:szCs w:val="21"/>
        </w:rPr>
        <w:t>právě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 kurz amerického dolaru. Kurz zlata v případě znehodnocení dolaru roste a naopak. Cenu zlata ovlivňuje také vyšší poptávka nebo velmi nízké úrokové sazby, při nichž se nevyplatí mít své peníze uložené v bance. Mezi další činitele patří také inflace, politická či ekonomická krize, popřípadě očekávaný pokles produkce zlata, s čímž souvisí zvýšený zájem o něj. Cena za tuto komoditu je proměnlivá, ale v dlouhodobém hledisku vykazuje jasný rostoucí trend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Pilíšek, ekonom a spoluzakladatel společnosti Zlaté rezervy.</w:t>
      </w:r>
    </w:p>
    <w:p w14:paraId="3F2B41C4" w14:textId="77777777" w:rsidR="00CF3AB7" w:rsidRPr="00055AEA" w:rsidRDefault="00CF3AB7" w:rsidP="00CF3AB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Cena zlata se vyvíjí v osmiletých cyklech a podle odborníků je zlato právě teď na počátku dalšího cyklu</w:t>
      </w:r>
      <w:r w:rsidRPr="00055AEA">
        <w:rPr>
          <w:rFonts w:ascii="Tahoma" w:eastAsia="Tahoma" w:hAnsi="Tahoma" w:cs="Tahoma"/>
          <w:sz w:val="21"/>
          <w:szCs w:val="21"/>
        </w:rPr>
        <w:t xml:space="preserve">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Trh se zlatem se od 70. let 20. století vyvíjí v dlouhodobých cyklech. Loňské překonání historického maxima dolarové ceny žlutého kovu potvrdilo, že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 konci roku 2022 začal 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nový zhruba osmiletý cyklus, ve kterém může cena unce zlata stoupnout až 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tři tisíce dolarů. Během osmiletého cyklu cena zlata kolísá, dochází samozřejmě i k poklesům, které je vhodné využít pro nákup,“ </w:t>
      </w:r>
      <w:r w:rsidRPr="00055AEA">
        <w:rPr>
          <w:rFonts w:ascii="Tahoma" w:eastAsia="Tahoma" w:hAnsi="Tahoma" w:cs="Tahoma"/>
          <w:sz w:val="21"/>
          <w:szCs w:val="21"/>
        </w:rPr>
        <w:t>řekl Roman Pilíšek</w:t>
      </w:r>
      <w:r>
        <w:rPr>
          <w:rFonts w:ascii="Tahoma" w:eastAsia="Tahoma" w:hAnsi="Tahoma" w:cs="Tahoma"/>
          <w:sz w:val="21"/>
          <w:szCs w:val="21"/>
        </w:rPr>
        <w:t xml:space="preserve">, autor </w:t>
      </w:r>
      <w:proofErr w:type="spellStart"/>
      <w:r>
        <w:rPr>
          <w:rFonts w:ascii="Tahoma" w:eastAsia="Tahoma" w:hAnsi="Tahoma" w:cs="Tahoma"/>
          <w:sz w:val="21"/>
          <w:szCs w:val="21"/>
        </w:rPr>
        <w:t>podcastu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hyperlink r:id="rId4" w:history="1">
        <w:r w:rsidRPr="00F5172B">
          <w:rPr>
            <w:rStyle w:val="Hypertextovodkaz"/>
            <w:rFonts w:ascii="Tahoma" w:eastAsia="Tahoma" w:hAnsi="Tahoma" w:cs="Tahoma"/>
            <w:color w:val="auto"/>
            <w:sz w:val="21"/>
            <w:szCs w:val="21"/>
          </w:rPr>
          <w:t>Redakce Zlaté rezervy</w:t>
        </w:r>
      </w:hyperlink>
      <w:r>
        <w:rPr>
          <w:rFonts w:ascii="Tahoma" w:eastAsia="Tahoma" w:hAnsi="Tahoma" w:cs="Tahoma"/>
          <w:sz w:val="21"/>
          <w:szCs w:val="21"/>
        </w:rPr>
        <w:t>, který se věnuje právě osmiletým cyklům a vývoji ceny zlata.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</w:p>
    <w:p w14:paraId="7986C841" w14:textId="77777777" w:rsidR="00CF3AB7" w:rsidRPr="00055AEA" w:rsidRDefault="00CF3AB7" w:rsidP="00CF3AB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Cena zlata roste převážně prvních pět let osmiletého cyklu, vrchol</w:t>
      </w:r>
      <w:r w:rsidRPr="00B7271D">
        <w:rPr>
          <w:rFonts w:ascii="Tahoma" w:eastAsia="Tahoma" w:hAnsi="Tahoma" w:cs="Tahoma"/>
          <w:sz w:val="21"/>
          <w:szCs w:val="21"/>
        </w:rPr>
        <w:t xml:space="preserve"> by měl nastat kolem roku </w:t>
      </w:r>
      <w:r>
        <w:rPr>
          <w:rFonts w:ascii="Tahoma" w:eastAsia="Tahoma" w:hAnsi="Tahoma" w:cs="Tahoma"/>
          <w:sz w:val="21"/>
          <w:szCs w:val="21"/>
        </w:rPr>
        <w:t>2028</w:t>
      </w:r>
      <w:r w:rsidRPr="00B7271D">
        <w:rPr>
          <w:rFonts w:ascii="Tahoma" w:eastAsia="Tahoma" w:hAnsi="Tahoma" w:cs="Tahoma"/>
          <w:sz w:val="21"/>
          <w:szCs w:val="21"/>
        </w:rPr>
        <w:t>, pak dojde k dlouhodobějšímu klesání ceny</w:t>
      </w:r>
      <w:r>
        <w:rPr>
          <w:rFonts w:ascii="Tahoma" w:eastAsia="Tahoma" w:hAnsi="Tahoma" w:cs="Tahoma"/>
          <w:sz w:val="21"/>
          <w:szCs w:val="21"/>
        </w:rPr>
        <w:t xml:space="preserve"> a začne nový osmiletý cyklus</w:t>
      </w:r>
      <w:r w:rsidRPr="00B7271D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„Vycházíme z dlouhodobých údajů již od roku 1973, kdy začal první osmiletý cyklus. Aktuálně jsme již v sedmém cyklu. Pouze v jednom případě měl cyklus klesající výsledek. Ve zbytku případů cena zlata vzrostla od 100 do 400 procent. S ohledem na stav západních ekonomik a mezinárodní politickou situaci pokládám metu 3000 amerických dolarů za spodní hranici odhadu,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055AEA">
        <w:rPr>
          <w:rFonts w:ascii="Tahoma" w:eastAsia="Tahoma" w:hAnsi="Tahoma" w:cs="Tahoma"/>
          <w:sz w:val="21"/>
          <w:szCs w:val="21"/>
        </w:rPr>
        <w:t xml:space="preserve">řekl </w:t>
      </w:r>
      <w:r>
        <w:rPr>
          <w:rFonts w:ascii="Tahoma" w:eastAsia="Tahoma" w:hAnsi="Tahoma" w:cs="Tahoma"/>
          <w:sz w:val="21"/>
          <w:szCs w:val="21"/>
        </w:rPr>
        <w:t>ekonom.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</w:p>
    <w:p w14:paraId="42BD4D77" w14:textId="77777777" w:rsidR="00CF3AB7" w:rsidRDefault="00CF3AB7" w:rsidP="00CF3AB7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Ač se o zlatě mluví jako o investici, v pravém slova smyslu to investice není</w:t>
      </w:r>
      <w:r w:rsidRPr="00055AEA">
        <w:rPr>
          <w:rFonts w:ascii="Tahoma" w:eastAsia="Tahoma" w:hAnsi="Tahoma" w:cs="Tahoma"/>
          <w:sz w:val="21"/>
          <w:szCs w:val="21"/>
        </w:rPr>
        <w:t xml:space="preserve">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Zlato je především uchovatelem hodnoty, jeho hodnota je konstantní. Základní jednotkou je trojská unce - 31,1 gramu. Vždy když cena zlata roste, ukazuje to mnohé, základní informací je, že peníze ztrácí hodnotu. Jen za posledních 14 měsíců vyrostla burzovní cena unce zlata z 40 000 na 50 000 korun. Česká koruna tak ztratila 25 procent své hodnoty. Podle mého názoru bude unce zlata v letech 2027 až 2028 kulminovat minimálně na ceně 70 000 korun, což je dalších +40 procent. Z krátkodobého hlediska bych ale s nákupem vyčkal do doby, kdy se bude burzovní cena pohybovat kolem 47 000 korun,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73519EC7" w14:textId="77777777" w:rsidR="00CF3AB7" w:rsidRDefault="00CF3AB7" w:rsidP="00CF3AB7">
      <w:pPr>
        <w:jc w:val="both"/>
        <w:rPr>
          <w:rFonts w:ascii="Tahoma" w:eastAsia="Tahoma" w:hAnsi="Tahoma" w:cs="Tahoma"/>
          <w:b/>
        </w:rPr>
      </w:pPr>
    </w:p>
    <w:p w14:paraId="1D451C40" w14:textId="77777777" w:rsidR="00CF3AB7" w:rsidRPr="00055AEA" w:rsidRDefault="00CF3AB7" w:rsidP="00CF3AB7">
      <w:pPr>
        <w:jc w:val="both"/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lastRenderedPageBreak/>
        <w:t>KONTAKT PRO MÉDIA:</w:t>
      </w:r>
    </w:p>
    <w:p w14:paraId="7F5982B6" w14:textId="77777777" w:rsidR="00CF3AB7" w:rsidRPr="00055AEA" w:rsidRDefault="00CF3AB7" w:rsidP="00CF3AB7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27F87A8D" w14:textId="77777777" w:rsidR="00CF3AB7" w:rsidRPr="00055AEA" w:rsidRDefault="00CF3AB7" w:rsidP="00CF3AB7">
      <w:pP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A39FFD2" wp14:editId="5E17F5F3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CD600B" w14:textId="77777777" w:rsidR="00CF3AB7" w:rsidRDefault="00CF3AB7" w:rsidP="00CF3AB7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02824593" w14:textId="39EA4D8E" w:rsidR="00CF3AB7" w:rsidRPr="00F5172B" w:rsidRDefault="00CF3AB7" w:rsidP="00CF3AB7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7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055AEA">
        <w:rPr>
          <w:rFonts w:ascii="Tahoma" w:eastAsia="Tahoma" w:hAnsi="Tahoma" w:cs="Tahoma"/>
          <w:sz w:val="20"/>
          <w:szCs w:val="20"/>
        </w:rPr>
        <w:br/>
      </w:r>
    </w:p>
    <w:p w14:paraId="5AB3BD6A" w14:textId="77777777" w:rsidR="00CF3AB7" w:rsidRPr="00055AEA" w:rsidRDefault="00CF3AB7" w:rsidP="00CF3AB7">
      <w:pPr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055AEA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3C76815F" w14:textId="77777777" w:rsidR="00CF3AB7" w:rsidRPr="00055AEA" w:rsidRDefault="00CF3AB7" w:rsidP="00CF3AB7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294DFFA4" w14:textId="77777777" w:rsidR="00CF3AB7" w:rsidRPr="00055AEA" w:rsidRDefault="00CF3AB7" w:rsidP="00CF3AB7">
      <w:pPr>
        <w:rPr>
          <w:rFonts w:ascii="Tahoma" w:hAnsi="Tahoma" w:cs="Tahoma"/>
        </w:rPr>
      </w:pPr>
      <w:bookmarkStart w:id="0" w:name="_heading=h.30j0zll" w:colFirst="0" w:colLast="0"/>
      <w:bookmarkEnd w:id="0"/>
      <w:r>
        <w:rPr>
          <w:rFonts w:ascii="Tahoma" w:eastAsia="Tahoma" w:hAnsi="Tahoma" w:cs="Tahoma"/>
          <w:b/>
        </w:rPr>
        <w:t xml:space="preserve">Mgr. </w:t>
      </w:r>
      <w:r w:rsidRPr="00055AEA">
        <w:rPr>
          <w:rFonts w:ascii="Tahoma" w:eastAsia="Tahoma" w:hAnsi="Tahoma" w:cs="Tahoma"/>
          <w:b/>
        </w:rPr>
        <w:t>ROMAN PILÍŠEK</w:t>
      </w:r>
    </w:p>
    <w:p w14:paraId="30550029" w14:textId="77777777" w:rsidR="00CF3AB7" w:rsidRPr="00055AEA" w:rsidRDefault="00CF3AB7" w:rsidP="00CF3AB7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Je spoluzakladatelem a hlavním ekonomem společnosti ZLATÉ REZERVY s.r.o. Dále publikuje ekonomické analýzy a komentáře v médiích a na portálu www.zlaterezervy.cz.</w:t>
      </w:r>
    </w:p>
    <w:p w14:paraId="47F3E69B" w14:textId="77777777" w:rsidR="00CF3AB7" w:rsidRPr="00055AEA" w:rsidRDefault="00CF3AB7" w:rsidP="00CF3AB7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72E2AD9C" w14:textId="77777777" w:rsidR="00CF3AB7" w:rsidRPr="00055AEA" w:rsidRDefault="00CF3AB7" w:rsidP="00CF3AB7">
      <w:pPr>
        <w:rPr>
          <w:rFonts w:ascii="Tahoma" w:hAnsi="Tahoma" w:cs="Tahoma"/>
        </w:rPr>
      </w:pPr>
    </w:p>
    <w:p w14:paraId="7D2B29B0" w14:textId="77777777" w:rsidR="00CF3AB7" w:rsidRPr="00055AEA" w:rsidRDefault="00CF3AB7" w:rsidP="00CF3AB7">
      <w:pPr>
        <w:rPr>
          <w:rFonts w:ascii="Tahoma" w:hAnsi="Tahoma" w:cs="Tahoma"/>
        </w:rPr>
      </w:pPr>
    </w:p>
    <w:p w14:paraId="7BEB340E" w14:textId="77777777" w:rsidR="00CF3AB7" w:rsidRPr="00055AEA" w:rsidRDefault="00CF3AB7" w:rsidP="00CF3AB7">
      <w:pPr>
        <w:rPr>
          <w:rFonts w:ascii="Tahoma" w:hAnsi="Tahoma" w:cs="Tahoma"/>
        </w:rPr>
      </w:pPr>
    </w:p>
    <w:p w14:paraId="0938E551" w14:textId="77777777" w:rsidR="00CF3AB7" w:rsidRPr="00055AEA" w:rsidRDefault="00CF3AB7" w:rsidP="00CF3AB7">
      <w:pPr>
        <w:rPr>
          <w:rFonts w:ascii="Tahoma" w:hAnsi="Tahoma" w:cs="Tahoma"/>
        </w:rPr>
      </w:pPr>
    </w:p>
    <w:p w14:paraId="66C1FB03" w14:textId="77777777" w:rsidR="00CF3AB7" w:rsidRPr="00055AEA" w:rsidRDefault="00CF3AB7" w:rsidP="00CF3AB7">
      <w:pPr>
        <w:rPr>
          <w:rFonts w:ascii="Tahoma" w:hAnsi="Tahoma" w:cs="Tahoma"/>
        </w:rPr>
      </w:pPr>
    </w:p>
    <w:p w14:paraId="3AC790D6" w14:textId="77777777" w:rsidR="00CF3AB7" w:rsidRDefault="00CF3AB7" w:rsidP="00CF3AB7"/>
    <w:p w14:paraId="150C270E" w14:textId="77777777" w:rsidR="00CF3AB7" w:rsidRDefault="00CF3AB7" w:rsidP="00CF3AB7"/>
    <w:p w14:paraId="0E42F83D" w14:textId="77777777" w:rsidR="00CF3AB7" w:rsidRDefault="00CF3AB7" w:rsidP="00CF3AB7"/>
    <w:p w14:paraId="4BB63AB8" w14:textId="77777777" w:rsidR="00CF3AB7" w:rsidRDefault="00CF3AB7"/>
    <w:sectPr w:rsidR="00CF3AB7" w:rsidSect="00FC3590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CDF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CB9F8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633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2C090B64" wp14:editId="7206C07C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2ED9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1EA13F7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0CF6B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B610087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5E0A2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9B8E64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66A5F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F9670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F1FB7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47E29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CD5C3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580A18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87F936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7052D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264A0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F4006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BF8EC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D49C8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8641E8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9B511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82200B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140D2E" w14:textId="77777777" w:rsidR="00000000" w:rsidRPr="005645FF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4A669E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4F8B20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599084B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DFEB87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5B826B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A71DAF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2AA21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99D65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C10DC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D3AE915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0C974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14780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B7"/>
    <w:rsid w:val="00CF3AB7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9DB5"/>
  <w15:chartTrackingRefBased/>
  <w15:docId w15:val="{7DC9FFFF-28F1-45C8-9A8B-C4B095F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3AB7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3AB7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CF3A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AB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hyperlink" Target="https://www.youtube.com/@ZLATEREZERVYcz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2024-03-06T08:17:00Z</dcterms:created>
  <dcterms:modified xsi:type="dcterms:W3CDTF">2024-03-06T08:18:00Z</dcterms:modified>
</cp:coreProperties>
</file>