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DBCB21" w14:textId="77777777" w:rsidR="007425E7" w:rsidRDefault="00000000">
      <w:pPr>
        <w:jc w:val="center"/>
        <w:rPr>
          <w:rFonts w:ascii="Tahoma" w:eastAsia="Tahoma" w:hAnsi="Tahoma" w:cs="Tahoma"/>
          <w:b/>
          <w:sz w:val="44"/>
          <w:szCs w:val="44"/>
        </w:rPr>
      </w:pPr>
      <w:r>
        <w:rPr>
          <w:rFonts w:ascii="Tahoma" w:eastAsia="Tahoma" w:hAnsi="Tahoma" w:cs="Tahoma"/>
          <w:b/>
          <w:sz w:val="44"/>
          <w:szCs w:val="44"/>
        </w:rPr>
        <w:t xml:space="preserve">Cena zlata do léta pravděpodobně dosáhne 3200 dolarů za unci. Poté by mohla klesnout až o 20 procent </w:t>
      </w:r>
    </w:p>
    <w:p w14:paraId="2E0CB7A3" w14:textId="77777777" w:rsidR="007425E7" w:rsidRDefault="00000000">
      <w:pPr>
        <w:jc w:val="both"/>
        <w:rPr>
          <w:rFonts w:ascii="Tahoma" w:eastAsia="Tahoma" w:hAnsi="Tahoma" w:cs="Tahoma"/>
          <w:b/>
          <w:sz w:val="21"/>
          <w:szCs w:val="21"/>
        </w:rPr>
      </w:pPr>
      <w:r>
        <w:rPr>
          <w:rFonts w:ascii="Tahoma" w:eastAsia="Tahoma" w:hAnsi="Tahoma" w:cs="Tahoma"/>
          <w:b/>
          <w:sz w:val="21"/>
          <w:szCs w:val="21"/>
        </w:rPr>
        <w:t>PRAHA, 24. ÚNORA 2025 – Cena zlata stále láme rekordy. Za deset let přinesl drahý kov svým majitelům výnos přes 40 tisíc korun na unci. Podle odborníků není dlouhodobý růst ceny zdaleka u konce. Částečný pokles očekávají v druhé polovině roku.</w:t>
      </w:r>
    </w:p>
    <w:p w14:paraId="38EDAB6D" w14:textId="77777777" w:rsidR="007425E7" w:rsidRDefault="00000000">
      <w:pPr>
        <w:jc w:val="both"/>
        <w:rPr>
          <w:rFonts w:ascii="Tahoma" w:eastAsia="Tahoma" w:hAnsi="Tahoma" w:cs="Tahoma"/>
          <w:sz w:val="21"/>
          <w:szCs w:val="21"/>
        </w:rPr>
      </w:pPr>
      <w:r>
        <w:rPr>
          <w:rFonts w:ascii="Tahoma" w:eastAsia="Tahoma" w:hAnsi="Tahoma" w:cs="Tahoma"/>
          <w:sz w:val="21"/>
          <w:szCs w:val="21"/>
        </w:rPr>
        <w:t xml:space="preserve">Cena zlata s menšími výkyvy historicky roste. Ještě v roce 1923 se dala trojská unce zlata koupit za dnes už nepředstavitelných 20 dolarů, o sto let později už byla cena bezmála stonásobná. </w:t>
      </w:r>
      <w:r>
        <w:rPr>
          <w:rFonts w:ascii="Tahoma" w:eastAsia="Tahoma" w:hAnsi="Tahoma" w:cs="Tahoma"/>
          <w:color w:val="CC9900"/>
          <w:sz w:val="21"/>
          <w:szCs w:val="21"/>
        </w:rPr>
        <w:t xml:space="preserve">„Do roku 1973 se cena zlata pohybovala pod hranicí sto dolarů za trojskou unci, právě v roce 1973 ale udělala cena zlata velký skok, kdy se její cena zvedla během jednoho roku o více než 40 dolarů. Svého tehdejšího vrcholu dosáhla v roce 1980, kdy se cena blížila dokonce k 800 dolarům za unci. Následně nastal dlouholetý propad a zlato se vrátilo k výraznému růstu až v roce 2006. Od té doby s menšími výkyvy cena vytrvale roste. Magickou hranici jednoho tisíce dolarů za unci překonalo zlato poprvé na jaře roku 2008, dvoutisícovou hranici pak definitivně prorazilo v roce 2024. Dnes už se blížíme k překonání mety tří tisíc dolarů za trojskou unci,“ </w:t>
      </w:r>
      <w:r>
        <w:rPr>
          <w:rFonts w:ascii="Tahoma" w:eastAsia="Tahoma" w:hAnsi="Tahoma" w:cs="Tahoma"/>
          <w:sz w:val="21"/>
          <w:szCs w:val="21"/>
        </w:rPr>
        <w:t>popsal Roman Pilíšek, ekonom a spoluzakladatel společnosti Zlaté rezervy.</w:t>
      </w:r>
    </w:p>
    <w:p w14:paraId="10D64BD1" w14:textId="77777777" w:rsidR="007425E7" w:rsidRDefault="00000000">
      <w:pPr>
        <w:jc w:val="both"/>
        <w:rPr>
          <w:rFonts w:ascii="Tahoma" w:eastAsia="Tahoma" w:hAnsi="Tahoma" w:cs="Tahoma"/>
          <w:sz w:val="21"/>
          <w:szCs w:val="21"/>
        </w:rPr>
      </w:pPr>
      <w:r>
        <w:rPr>
          <w:rFonts w:ascii="Tahoma" w:eastAsia="Tahoma" w:hAnsi="Tahoma" w:cs="Tahoma"/>
          <w:sz w:val="21"/>
          <w:szCs w:val="21"/>
        </w:rPr>
        <w:t>Podle analýz se cena zlata vyvíjí v osmiletých cyklech.</w:t>
      </w:r>
      <w:r>
        <w:rPr>
          <w:rFonts w:ascii="Arial" w:eastAsia="Arial" w:hAnsi="Arial" w:cs="Arial"/>
          <w:sz w:val="21"/>
          <w:szCs w:val="21"/>
        </w:rPr>
        <w:t xml:space="preserve"> </w:t>
      </w:r>
      <w:r>
        <w:rPr>
          <w:rFonts w:ascii="Tahoma" w:eastAsia="Tahoma" w:hAnsi="Tahoma" w:cs="Tahoma"/>
          <w:sz w:val="21"/>
          <w:szCs w:val="21"/>
        </w:rPr>
        <w:t xml:space="preserve">Vrchol současného cyklu by mohl nastat už v roce 2026, ale nebylo by překvapením, pokud by růst vyvrcholil až na konci této dekády. Následně pak dojde k dlouhodobějšímu klesání ceny. </w:t>
      </w:r>
      <w:r>
        <w:rPr>
          <w:rFonts w:ascii="Tahoma" w:eastAsia="Tahoma" w:hAnsi="Tahoma" w:cs="Tahoma"/>
          <w:color w:val="CC9900"/>
          <w:sz w:val="21"/>
          <w:szCs w:val="21"/>
        </w:rPr>
        <w:t xml:space="preserve">„Trh se zlatem se od 70. let 20. století vyvíjí v dlouhodobých cyklech. Na konci roku 2022 začal nový zhruba osmiletý cyklus. Vycházíme z dlouhodobých údajů již od roku 1968, kdy začal první osmiletý cyklus. Aktuálně jsme již v osmém cyklu. Pouze v jednom případě měl cyklus klesající výsledek. Ve zbytku případů cena zlata vzrostla v průměru od 100 do 400 procent. S ohledem na stav západních ekonomik a mezinárodní politickou situaci předpokládáme, že by cena zlata mohla již v prvním pololetí letošního roku dosáhnout až 3200 dolarů,“ </w:t>
      </w:r>
      <w:r>
        <w:rPr>
          <w:rFonts w:ascii="Tahoma" w:eastAsia="Tahoma" w:hAnsi="Tahoma" w:cs="Tahoma"/>
          <w:sz w:val="21"/>
          <w:szCs w:val="21"/>
        </w:rPr>
        <w:t>řekl Jan Železník, analytik a spoluzakladatel společnosti Zlaté rezervy.</w:t>
      </w:r>
    </w:p>
    <w:p w14:paraId="082754E4" w14:textId="77777777" w:rsidR="007425E7" w:rsidRDefault="00000000">
      <w:pPr>
        <w:pBdr>
          <w:bottom w:val="single" w:sz="4" w:space="1" w:color="000000"/>
        </w:pBdr>
        <w:jc w:val="both"/>
        <w:rPr>
          <w:rFonts w:ascii="Tahoma" w:eastAsia="Tahoma" w:hAnsi="Tahoma" w:cs="Tahoma"/>
          <w:sz w:val="21"/>
          <w:szCs w:val="21"/>
        </w:rPr>
      </w:pPr>
      <w:r>
        <w:rPr>
          <w:rFonts w:ascii="Tahoma" w:eastAsia="Tahoma" w:hAnsi="Tahoma" w:cs="Tahoma"/>
          <w:sz w:val="21"/>
          <w:szCs w:val="21"/>
        </w:rPr>
        <w:t xml:space="preserve">Během osmiletého cyklu cena zlata kolísá, dochází samozřejmě i k poklesům, které je vhodné využít pro nákup. </w:t>
      </w:r>
      <w:r>
        <w:rPr>
          <w:rFonts w:ascii="Tahoma" w:eastAsia="Tahoma" w:hAnsi="Tahoma" w:cs="Tahoma"/>
          <w:color w:val="CC9900"/>
          <w:sz w:val="21"/>
          <w:szCs w:val="21"/>
        </w:rPr>
        <w:t xml:space="preserve">„Očekáváme, že cena zlata by mohla klesnout v druhé polovině letošního roku, propad by mohl dosáhnout mezi 10 a 20 procenty od vrcholu. Pak přibližně od podzimu očekáváme další růst. Z dlouhodobého hlediska je vhodná doba na nákup zlata v podstatě kdykoli – například lidé, kteří nakoupili zlato před deseti lety, kdy cena za jednu unci činila zhruba 35 tisíc korun, dnes prodávají za částky atakující 70 tisíc korun za unci. Pokud někdo nakoupí zlato dnes a prodá jej za tři měsíce, příliš nevydělá, pokud ale zlato prodá až za několik let, zhodnocení je jisté,“ </w:t>
      </w:r>
      <w:r>
        <w:rPr>
          <w:rFonts w:ascii="Tahoma" w:eastAsia="Tahoma" w:hAnsi="Tahoma" w:cs="Tahoma"/>
          <w:sz w:val="21"/>
          <w:szCs w:val="21"/>
        </w:rPr>
        <w:t xml:space="preserve">uzavřel analytik. </w:t>
      </w:r>
    </w:p>
    <w:p w14:paraId="67F058A3" w14:textId="77777777" w:rsidR="007425E7" w:rsidRDefault="007425E7">
      <w:pPr>
        <w:spacing w:line="276" w:lineRule="auto"/>
        <w:jc w:val="both"/>
        <w:rPr>
          <w:rFonts w:ascii="Tahoma" w:eastAsia="Tahoma" w:hAnsi="Tahoma" w:cs="Tahoma"/>
          <w:b/>
        </w:rPr>
      </w:pPr>
    </w:p>
    <w:p w14:paraId="0A854CB2" w14:textId="77777777" w:rsidR="007425E7" w:rsidRDefault="007425E7">
      <w:pPr>
        <w:spacing w:line="276" w:lineRule="auto"/>
        <w:jc w:val="both"/>
        <w:rPr>
          <w:rFonts w:ascii="Tahoma" w:eastAsia="Tahoma" w:hAnsi="Tahoma" w:cs="Tahoma"/>
          <w:b/>
        </w:rPr>
      </w:pPr>
    </w:p>
    <w:p w14:paraId="36DBF639" w14:textId="77777777" w:rsidR="007425E7" w:rsidRDefault="007425E7">
      <w:pPr>
        <w:spacing w:line="276" w:lineRule="auto"/>
        <w:jc w:val="both"/>
        <w:rPr>
          <w:rFonts w:ascii="Tahoma" w:eastAsia="Tahoma" w:hAnsi="Tahoma" w:cs="Tahoma"/>
          <w:b/>
        </w:rPr>
      </w:pPr>
    </w:p>
    <w:p w14:paraId="2F81ACF8" w14:textId="77777777" w:rsidR="007425E7" w:rsidRDefault="00000000">
      <w:pPr>
        <w:spacing w:line="276" w:lineRule="auto"/>
        <w:jc w:val="both"/>
        <w:rPr>
          <w:rFonts w:ascii="Tahoma" w:eastAsia="Tahoma" w:hAnsi="Tahoma" w:cs="Tahoma"/>
          <w:b/>
        </w:rPr>
      </w:pPr>
      <w:r>
        <w:rPr>
          <w:rFonts w:ascii="Tahoma" w:eastAsia="Tahoma" w:hAnsi="Tahoma" w:cs="Tahoma"/>
          <w:b/>
        </w:rPr>
        <w:lastRenderedPageBreak/>
        <w:t>KONTAKT PRO MÉDIA:</w:t>
      </w:r>
    </w:p>
    <w:p w14:paraId="1CD56BC8" w14:textId="77777777" w:rsidR="007425E7" w:rsidRDefault="00000000">
      <w:pPr>
        <w:spacing w:line="276" w:lineRule="auto"/>
        <w:jc w:val="both"/>
        <w:rPr>
          <w:rFonts w:ascii="Tahoma" w:eastAsia="Tahoma" w:hAnsi="Tahoma" w:cs="Tahoma"/>
          <w:b/>
          <w:color w:val="CC9900"/>
          <w:sz w:val="20"/>
          <w:szCs w:val="20"/>
        </w:rPr>
      </w:pPr>
      <w:r>
        <w:rPr>
          <w:rFonts w:ascii="Tahoma" w:eastAsia="Tahoma" w:hAnsi="Tahoma" w:cs="Tahoma"/>
          <w:b/>
          <w:color w:val="333333"/>
          <w:sz w:val="20"/>
          <w:szCs w:val="20"/>
        </w:rPr>
        <w:t xml:space="preserve">Mgr. Petra </w:t>
      </w:r>
      <w:proofErr w:type="spellStart"/>
      <w:r>
        <w:rPr>
          <w:rFonts w:ascii="Tahoma" w:eastAsia="Tahoma" w:hAnsi="Tahoma" w:cs="Tahoma"/>
          <w:b/>
          <w:color w:val="333333"/>
          <w:sz w:val="20"/>
          <w:szCs w:val="20"/>
        </w:rPr>
        <w:t>Ďurčíková</w:t>
      </w:r>
      <w:r>
        <w:rPr>
          <w:rFonts w:ascii="Tahoma" w:eastAsia="Tahoma" w:hAnsi="Tahoma" w:cs="Tahoma"/>
          <w:b/>
          <w:color w:val="CC9900"/>
          <w:sz w:val="20"/>
          <w:szCs w:val="20"/>
        </w:rPr>
        <w:t>_mediální</w:t>
      </w:r>
      <w:proofErr w:type="spellEnd"/>
      <w:r>
        <w:rPr>
          <w:rFonts w:ascii="Tahoma" w:eastAsia="Tahoma" w:hAnsi="Tahoma" w:cs="Tahoma"/>
          <w:b/>
          <w:color w:val="CC9900"/>
          <w:sz w:val="20"/>
          <w:szCs w:val="20"/>
        </w:rPr>
        <w:t xml:space="preserve"> konzultant</w:t>
      </w:r>
    </w:p>
    <w:p w14:paraId="42948849" w14:textId="77777777" w:rsidR="007425E7" w:rsidRDefault="00000000">
      <w:pPr>
        <w:spacing w:line="276" w:lineRule="auto"/>
        <w:rPr>
          <w:rFonts w:ascii="Tahoma" w:eastAsia="Tahoma" w:hAnsi="Tahoma" w:cs="Tahoma"/>
          <w:b/>
          <w:sz w:val="20"/>
          <w:szCs w:val="20"/>
        </w:rPr>
      </w:pPr>
      <w:r>
        <w:rPr>
          <w:rFonts w:ascii="Tahoma" w:eastAsia="Tahoma" w:hAnsi="Tahoma" w:cs="Tahoma"/>
          <w:b/>
          <w:noProof/>
          <w:sz w:val="20"/>
          <w:szCs w:val="20"/>
        </w:rPr>
        <w:drawing>
          <wp:inline distT="0" distB="0" distL="0" distR="0" wp14:anchorId="6CD4453D" wp14:editId="26711E83">
            <wp:extent cx="833620" cy="132741"/>
            <wp:effectExtent l="0" t="0" r="0" b="0"/>
            <wp:docPr id="2" name="image2.pn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2.png" descr="pear_media logo_fin rgb_bez okraju.jpg"/>
                    <pic:cNvPicPr preferRelativeResize="0"/>
                  </pic:nvPicPr>
                  <pic:blipFill>
                    <a:blip r:embed="rId6"/>
                    <a:srcRect/>
                    <a:stretch>
                      <a:fillRect/>
                    </a:stretch>
                  </pic:blipFill>
                  <pic:spPr>
                    <a:xfrm>
                      <a:off x="0" y="0"/>
                      <a:ext cx="833620" cy="132741"/>
                    </a:xfrm>
                    <a:prstGeom prst="rect">
                      <a:avLst/>
                    </a:prstGeom>
                    <a:ln/>
                  </pic:spPr>
                </pic:pic>
              </a:graphicData>
            </a:graphic>
          </wp:inline>
        </w:drawing>
      </w:r>
    </w:p>
    <w:p w14:paraId="573D2DF0" w14:textId="77777777" w:rsidR="007425E7" w:rsidRDefault="00000000">
      <w:pPr>
        <w:pBdr>
          <w:bottom w:val="single" w:sz="6" w:space="1" w:color="000000"/>
        </w:pBdr>
        <w:spacing w:line="276" w:lineRule="auto"/>
        <w:rPr>
          <w:rFonts w:ascii="Tahoma" w:eastAsia="Tahoma" w:hAnsi="Tahoma" w:cs="Tahoma"/>
          <w:b/>
          <w:sz w:val="20"/>
          <w:szCs w:val="20"/>
        </w:rPr>
      </w:pPr>
      <w:r>
        <w:rPr>
          <w:rFonts w:ascii="Tahoma" w:eastAsia="Tahoma" w:hAnsi="Tahoma" w:cs="Tahoma"/>
          <w:b/>
          <w:sz w:val="20"/>
          <w:szCs w:val="20"/>
        </w:rPr>
        <w:t xml:space="preserve">+420 733 643 825, </w:t>
      </w:r>
      <w:hyperlink r:id="rId7">
        <w:r>
          <w:rPr>
            <w:rFonts w:ascii="Tahoma" w:eastAsia="Tahoma" w:hAnsi="Tahoma" w:cs="Tahoma"/>
            <w:b/>
            <w:color w:val="0000FF"/>
            <w:sz w:val="20"/>
            <w:szCs w:val="20"/>
            <w:u w:val="single"/>
          </w:rPr>
          <w:t>petra@pearmedia.cz</w:t>
        </w:r>
      </w:hyperlink>
    </w:p>
    <w:p w14:paraId="61182CB9" w14:textId="77777777" w:rsidR="007425E7" w:rsidRDefault="00000000">
      <w:pPr>
        <w:pBdr>
          <w:bottom w:val="single" w:sz="6" w:space="1" w:color="000000"/>
        </w:pBdr>
        <w:spacing w:line="276" w:lineRule="auto"/>
        <w:rPr>
          <w:rFonts w:ascii="Tahoma" w:eastAsia="Tahoma" w:hAnsi="Tahoma" w:cs="Tahoma"/>
          <w:b/>
          <w:sz w:val="20"/>
          <w:szCs w:val="20"/>
        </w:rPr>
      </w:pPr>
      <w:hyperlink r:id="rId8">
        <w:r>
          <w:rPr>
            <w:rFonts w:ascii="Tahoma" w:eastAsia="Tahoma" w:hAnsi="Tahoma" w:cs="Tahoma"/>
            <w:b/>
            <w:color w:val="0000FF"/>
            <w:sz w:val="20"/>
            <w:szCs w:val="20"/>
            <w:u w:val="single"/>
          </w:rPr>
          <w:t>pearmedia.cz</w:t>
        </w:r>
      </w:hyperlink>
      <w:r>
        <w:rPr>
          <w:rFonts w:ascii="Tahoma" w:eastAsia="Tahoma" w:hAnsi="Tahoma" w:cs="Tahoma"/>
          <w:sz w:val="20"/>
          <w:szCs w:val="20"/>
        </w:rPr>
        <w:br/>
      </w:r>
    </w:p>
    <w:p w14:paraId="77789B8E" w14:textId="77777777" w:rsidR="007425E7" w:rsidRDefault="00000000">
      <w:pPr>
        <w:spacing w:line="276" w:lineRule="auto"/>
        <w:rPr>
          <w:rFonts w:ascii="Tahoma" w:eastAsia="Tahoma" w:hAnsi="Tahoma" w:cs="Tahoma"/>
          <w:b/>
        </w:rPr>
      </w:pPr>
      <w:r>
        <w:rPr>
          <w:rFonts w:ascii="Tahoma" w:eastAsia="Tahoma" w:hAnsi="Tahoma" w:cs="Tahoma"/>
          <w:b/>
        </w:rPr>
        <w:t xml:space="preserve">ZLATÉ REZERVY, </w:t>
      </w:r>
      <w:hyperlink r:id="rId9">
        <w:r>
          <w:rPr>
            <w:rFonts w:ascii="Tahoma" w:eastAsia="Tahoma" w:hAnsi="Tahoma" w:cs="Tahoma"/>
            <w:b/>
            <w:color w:val="0563C1"/>
            <w:u w:val="single"/>
          </w:rPr>
          <w:t>www.zlaterezervy.cz</w:t>
        </w:r>
      </w:hyperlink>
    </w:p>
    <w:p w14:paraId="68F49B6E" w14:textId="77777777" w:rsidR="007425E7" w:rsidRDefault="00000000">
      <w:pPr>
        <w:spacing w:line="276" w:lineRule="auto"/>
        <w:jc w:val="both"/>
        <w:rPr>
          <w:rFonts w:ascii="Tahoma" w:eastAsia="Tahoma" w:hAnsi="Tahoma" w:cs="Tahoma"/>
          <w:sz w:val="20"/>
          <w:szCs w:val="20"/>
        </w:rPr>
      </w:pPr>
      <w:bookmarkStart w:id="0" w:name="_gjdgxs" w:colFirst="0" w:colLast="0"/>
      <w:bookmarkEnd w:id="0"/>
      <w:r>
        <w:rPr>
          <w:rFonts w:ascii="Tahoma" w:eastAsia="Tahoma" w:hAnsi="Tahoma" w:cs="Tahoma"/>
          <w:sz w:val="20"/>
          <w:szCs w:val="20"/>
        </w:rPr>
        <w:t xml:space="preserve">Společnost ZLATÉ REZERVY s.r.o. je obchodní společností zabývající se prodejem a výkupem fyzického investičního zlata a stříbra v podobě uzančních slitků a mincí od roku 2010. Fyzické investiční zlato a stříbro jsou svým charakterem zboží, jehož cena je ovlivňována vývojem na světových trzích – držitel takovéhoto zboží je tedy vystaven riziku ztráty. Společnost pokládá služby spojené s výkupem investičního zlata a stříbra za stejně významné jako při prodeji. Je si plně vědoma skutečnosti, že každý držitel zlata a stříbra může dříve nebo později potřebovat svou investici směnit na hotovost. Společnost ZLATÉ REZERVY s.r.o. poskytuje smluvní garanci, že od svého zákazníka kdykoliv odkoupí investiční zlato a stříbro zpět. </w:t>
      </w:r>
    </w:p>
    <w:p w14:paraId="0AFBCD1D" w14:textId="77777777" w:rsidR="007425E7" w:rsidRDefault="00000000">
      <w:pPr>
        <w:spacing w:line="276" w:lineRule="auto"/>
        <w:rPr>
          <w:rFonts w:ascii="Tahoma" w:eastAsia="Tahoma" w:hAnsi="Tahoma" w:cs="Tahoma"/>
        </w:rPr>
      </w:pPr>
      <w:bookmarkStart w:id="1" w:name="_30j0zll" w:colFirst="0" w:colLast="0"/>
      <w:bookmarkEnd w:id="1"/>
      <w:r>
        <w:rPr>
          <w:rFonts w:ascii="Tahoma" w:eastAsia="Tahoma" w:hAnsi="Tahoma" w:cs="Tahoma"/>
          <w:b/>
        </w:rPr>
        <w:t>Mgr. ROMAN PILÍŠEK</w:t>
      </w:r>
    </w:p>
    <w:p w14:paraId="7401D401" w14:textId="2625644C" w:rsidR="007425E7" w:rsidRDefault="00000000">
      <w:pPr>
        <w:spacing w:line="276" w:lineRule="auto"/>
        <w:jc w:val="both"/>
        <w:rPr>
          <w:rFonts w:ascii="Tahoma" w:eastAsia="Tahoma" w:hAnsi="Tahoma" w:cs="Tahoma"/>
          <w:sz w:val="20"/>
          <w:szCs w:val="20"/>
        </w:rPr>
      </w:pPr>
      <w:r>
        <w:rPr>
          <w:rFonts w:ascii="Tahoma" w:eastAsia="Tahoma" w:hAnsi="Tahoma" w:cs="Tahoma"/>
          <w:sz w:val="20"/>
          <w:szCs w:val="20"/>
        </w:rPr>
        <w:t xml:space="preserve">Je spoluzakladatelem a hlavním ekonomem společnosti ZLATÉ REZERVY s.r.o. Dále publikuje ekonomické analýzy a komentáře v médiích a na portálu </w:t>
      </w:r>
      <w:hyperlink r:id="rId10">
        <w:r>
          <w:rPr>
            <w:rFonts w:ascii="Tahoma" w:eastAsia="Tahoma" w:hAnsi="Tahoma" w:cs="Tahoma"/>
            <w:color w:val="0000FF"/>
            <w:sz w:val="20"/>
            <w:szCs w:val="20"/>
            <w:u w:val="single"/>
          </w:rPr>
          <w:t>www.zlaterezervy.cz</w:t>
        </w:r>
      </w:hyperlink>
      <w:r>
        <w:rPr>
          <w:rFonts w:ascii="Tahoma" w:eastAsia="Tahoma" w:hAnsi="Tahoma" w:cs="Tahoma"/>
          <w:sz w:val="20"/>
          <w:szCs w:val="20"/>
        </w:rPr>
        <w:t>.</w:t>
      </w:r>
      <w:r w:rsidR="00A9122C">
        <w:rPr>
          <w:rFonts w:ascii="Tahoma" w:eastAsia="Tahoma" w:hAnsi="Tahoma" w:cs="Tahoma"/>
          <w:sz w:val="20"/>
          <w:szCs w:val="20"/>
        </w:rPr>
        <w:t xml:space="preserve"> </w:t>
      </w:r>
      <w:r>
        <w:rPr>
          <w:rFonts w:ascii="Tahoma" w:eastAsia="Tahoma" w:hAnsi="Tahoma" w:cs="Tahoma"/>
          <w:sz w:val="20"/>
          <w:szCs w:val="20"/>
        </w:rPr>
        <w:t>Roman Pilíšek je absolventem Univerzity Tomáše Bati ve Zlíně, kde se již během studia intenzivně zabýval problematikou finančních a komoditních trhů. Dále je absolventem magisterského studijního programu politologie s vedlejší specializací politická ekonomie na vysoké škole CEVRO Institut v Praze.</w:t>
      </w:r>
    </w:p>
    <w:p w14:paraId="052F28C5" w14:textId="77777777" w:rsidR="007425E7" w:rsidRDefault="00000000">
      <w:pPr>
        <w:spacing w:line="276" w:lineRule="auto"/>
        <w:rPr>
          <w:rFonts w:ascii="Tahoma" w:eastAsia="Tahoma" w:hAnsi="Tahoma" w:cs="Tahoma"/>
          <w:b/>
        </w:rPr>
      </w:pPr>
      <w:r>
        <w:rPr>
          <w:rFonts w:ascii="Tahoma" w:eastAsia="Tahoma" w:hAnsi="Tahoma" w:cs="Tahoma"/>
          <w:b/>
        </w:rPr>
        <w:t>JAN ŽELEZNÍK</w:t>
      </w:r>
    </w:p>
    <w:p w14:paraId="7D3BD186" w14:textId="77777777" w:rsidR="007425E7" w:rsidRDefault="00000000">
      <w:pPr>
        <w:spacing w:line="276" w:lineRule="auto"/>
        <w:jc w:val="both"/>
        <w:rPr>
          <w:rFonts w:ascii="Tahoma" w:eastAsia="Tahoma" w:hAnsi="Tahoma" w:cs="Tahoma"/>
          <w:sz w:val="20"/>
          <w:szCs w:val="20"/>
        </w:rPr>
      </w:pPr>
      <w:bookmarkStart w:id="2" w:name="_1fob9te" w:colFirst="0" w:colLast="0"/>
      <w:bookmarkEnd w:id="2"/>
      <w:r>
        <w:rPr>
          <w:rFonts w:ascii="Tahoma" w:eastAsia="Tahoma" w:hAnsi="Tahoma" w:cs="Tahoma"/>
          <w:sz w:val="20"/>
          <w:szCs w:val="20"/>
        </w:rPr>
        <w:t xml:space="preserve">Je spoluzakladatelem a hlavním analytikem společnosti ZLATÉ REZERVY s.r.o. Studoval na </w:t>
      </w:r>
      <w:proofErr w:type="spellStart"/>
      <w:r>
        <w:rPr>
          <w:rFonts w:ascii="Tahoma" w:eastAsia="Tahoma" w:hAnsi="Tahoma" w:cs="Tahoma"/>
          <w:sz w:val="20"/>
          <w:szCs w:val="20"/>
        </w:rPr>
        <w:t>Wirtschaftsuniversität</w:t>
      </w:r>
      <w:proofErr w:type="spellEnd"/>
      <w:r>
        <w:rPr>
          <w:rFonts w:ascii="Tahoma" w:eastAsia="Tahoma" w:hAnsi="Tahoma" w:cs="Tahoma"/>
          <w:sz w:val="20"/>
          <w:szCs w:val="20"/>
        </w:rPr>
        <w:t xml:space="preserve"> </w:t>
      </w:r>
      <w:proofErr w:type="spellStart"/>
      <w:r>
        <w:rPr>
          <w:rFonts w:ascii="Tahoma" w:eastAsia="Tahoma" w:hAnsi="Tahoma" w:cs="Tahoma"/>
          <w:sz w:val="20"/>
          <w:szCs w:val="20"/>
        </w:rPr>
        <w:t>Wien</w:t>
      </w:r>
      <w:proofErr w:type="spellEnd"/>
      <w:r>
        <w:rPr>
          <w:rFonts w:ascii="Tahoma" w:eastAsia="Tahoma" w:hAnsi="Tahoma" w:cs="Tahoma"/>
          <w:sz w:val="20"/>
          <w:szCs w:val="20"/>
        </w:rPr>
        <w:t xml:space="preserve"> (Ekonomická univerzita ve Vídni) a od roku 1998 působí v oblasti správy nemovitostí, financí a komoditních burz. Ve společnosti má na starosti styk se zahraničními dodavateli zlata a stříbra (z Rakouska, Německa, Švýcarska). Na portálu www.zlaterezervy.cz publikuje pravidelné reporty, překládá vybrané články, analýzy a zajímavosti o vzácných kovech, penězích a ekonomice.</w:t>
      </w:r>
    </w:p>
    <w:p w14:paraId="7AE1F837" w14:textId="77777777" w:rsidR="007425E7" w:rsidRDefault="007425E7">
      <w:pPr>
        <w:spacing w:line="276" w:lineRule="auto"/>
        <w:rPr>
          <w:b/>
          <w:sz w:val="36"/>
          <w:szCs w:val="36"/>
        </w:rPr>
      </w:pPr>
    </w:p>
    <w:p w14:paraId="49FC3D9B" w14:textId="77777777" w:rsidR="007425E7" w:rsidRDefault="007425E7"/>
    <w:sectPr w:rsidR="007425E7">
      <w:headerReference w:type="default" r:id="rId11"/>
      <w:footerReference w:type="default" r:id="rId12"/>
      <w:pgSz w:w="11906" w:h="16838"/>
      <w:pgMar w:top="1700"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C00993" w14:textId="77777777" w:rsidR="00454FD6" w:rsidRDefault="00454FD6">
      <w:pPr>
        <w:spacing w:after="0" w:line="240" w:lineRule="auto"/>
      </w:pPr>
      <w:r>
        <w:separator/>
      </w:r>
    </w:p>
  </w:endnote>
  <w:endnote w:type="continuationSeparator" w:id="0">
    <w:p w14:paraId="52E12FAF" w14:textId="77777777" w:rsidR="00454FD6" w:rsidRDefault="00454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Georgia">
    <w:panose1 w:val="02040502050405020303"/>
    <w:charset w:val="00"/>
    <w:family w:val="auto"/>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3BCCD" w14:textId="77777777" w:rsidR="007425E7" w:rsidRDefault="007425E7">
    <w:pPr>
      <w:pBdr>
        <w:top w:val="nil"/>
        <w:left w:val="nil"/>
        <w:bottom w:val="nil"/>
        <w:right w:val="nil"/>
        <w:between w:val="nil"/>
      </w:pBdr>
      <w:tabs>
        <w:tab w:val="center" w:pos="4536"/>
        <w:tab w:val="right" w:pos="9072"/>
      </w:tabs>
      <w:spacing w:after="0" w:line="240" w:lineRule="auto"/>
      <w:rPr>
        <w:color w:val="000000"/>
      </w:rPr>
    </w:pPr>
  </w:p>
  <w:p w14:paraId="63DEBF70" w14:textId="77777777" w:rsidR="007425E7" w:rsidRDefault="007425E7">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D4660C" w14:textId="77777777" w:rsidR="00454FD6" w:rsidRDefault="00454FD6">
      <w:pPr>
        <w:spacing w:after="0" w:line="240" w:lineRule="auto"/>
      </w:pPr>
      <w:r>
        <w:separator/>
      </w:r>
    </w:p>
  </w:footnote>
  <w:footnote w:type="continuationSeparator" w:id="0">
    <w:p w14:paraId="7045F1F0" w14:textId="77777777" w:rsidR="00454FD6" w:rsidRDefault="00454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C030F" w14:textId="77777777" w:rsidR="007425E7"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r>
      <w:rPr>
        <w:noProof/>
      </w:rPr>
      <w:drawing>
        <wp:anchor distT="0" distB="0" distL="114300" distR="114300" simplePos="0" relativeHeight="251658240" behindDoc="0" locked="0" layoutInCell="1" hidden="0" allowOverlap="1" wp14:anchorId="1454FFB3" wp14:editId="1BE241DB">
          <wp:simplePos x="0" y="0"/>
          <wp:positionH relativeFrom="column">
            <wp:posOffset>90171</wp:posOffset>
          </wp:positionH>
          <wp:positionV relativeFrom="paragraph">
            <wp:posOffset>76835</wp:posOffset>
          </wp:positionV>
          <wp:extent cx="2610485" cy="55245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2239" t="27722" r="12132" b="21783"/>
                  <a:stretch>
                    <a:fillRect/>
                  </a:stretch>
                </pic:blipFill>
                <pic:spPr>
                  <a:xfrm>
                    <a:off x="0" y="0"/>
                    <a:ext cx="2610485" cy="552450"/>
                  </a:xfrm>
                  <a:prstGeom prst="rect">
                    <a:avLst/>
                  </a:prstGeom>
                  <a:ln/>
                </pic:spPr>
              </pic:pic>
            </a:graphicData>
          </a:graphic>
        </wp:anchor>
      </w:drawing>
    </w:r>
  </w:p>
  <w:p w14:paraId="348E3EAD" w14:textId="77777777" w:rsidR="007425E7"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r>
      <w:rPr>
        <w:b/>
        <w:color w:val="000000"/>
        <w:sz w:val="36"/>
        <w:szCs w:val="36"/>
      </w:rPr>
      <w:tab/>
    </w:r>
    <w:r>
      <w:rPr>
        <w:b/>
        <w:color w:val="000000"/>
        <w:sz w:val="36"/>
        <w:szCs w:val="36"/>
      </w:rPr>
      <w:tab/>
    </w:r>
    <w:r>
      <w:rPr>
        <w:b/>
        <w:color w:val="000000"/>
        <w:sz w:val="36"/>
        <w:szCs w:val="36"/>
      </w:rPr>
      <w:tab/>
    </w:r>
    <w:r>
      <w:rPr>
        <w:b/>
        <w:color w:val="000000"/>
        <w:sz w:val="36"/>
        <w:szCs w:val="36"/>
      </w:rPr>
      <w:tab/>
      <w:t>TISKOVÁ ZPRÁVA</w:t>
    </w:r>
  </w:p>
  <w:p w14:paraId="50073FB9" w14:textId="77777777" w:rsidR="007425E7" w:rsidRDefault="007425E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412483FC" w14:textId="77777777" w:rsidR="007425E7" w:rsidRDefault="007425E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0E823FA" w14:textId="77777777" w:rsidR="007425E7" w:rsidRDefault="007425E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4B907F5" w14:textId="77777777" w:rsidR="007425E7" w:rsidRDefault="007425E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9732F8C" w14:textId="77777777" w:rsidR="007425E7" w:rsidRDefault="007425E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2F3FD21" w14:textId="77777777" w:rsidR="007425E7" w:rsidRDefault="007425E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542AAB6" w14:textId="77777777" w:rsidR="007425E7" w:rsidRDefault="007425E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99BEC25" w14:textId="77777777" w:rsidR="007425E7" w:rsidRDefault="007425E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6DBF3416" w14:textId="77777777" w:rsidR="007425E7" w:rsidRDefault="007425E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B3E1884" w14:textId="77777777" w:rsidR="007425E7" w:rsidRDefault="007425E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83F68C6" w14:textId="77777777" w:rsidR="007425E7" w:rsidRDefault="007425E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3A3788E" w14:textId="77777777" w:rsidR="007425E7" w:rsidRDefault="007425E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2154A68C" w14:textId="77777777" w:rsidR="007425E7" w:rsidRDefault="007425E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4785FCDC" w14:textId="77777777" w:rsidR="007425E7" w:rsidRDefault="007425E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A426001" w14:textId="77777777" w:rsidR="007425E7" w:rsidRDefault="007425E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F6A0FA1" w14:textId="77777777" w:rsidR="007425E7" w:rsidRDefault="007425E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2E68AB4" w14:textId="77777777" w:rsidR="007425E7" w:rsidRDefault="007425E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6163CE7D" w14:textId="77777777" w:rsidR="007425E7" w:rsidRDefault="007425E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4CF58CF8" w14:textId="77777777" w:rsidR="007425E7" w:rsidRDefault="007425E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32DE4BB" w14:textId="77777777" w:rsidR="007425E7" w:rsidRDefault="007425E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2AC9D39" w14:textId="77777777" w:rsidR="007425E7" w:rsidRDefault="007425E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3184B89" w14:textId="77777777" w:rsidR="007425E7" w:rsidRDefault="007425E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616773F" w14:textId="77777777" w:rsidR="007425E7" w:rsidRDefault="007425E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6E999BC" w14:textId="77777777" w:rsidR="007425E7" w:rsidRDefault="007425E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ABB96B7" w14:textId="77777777" w:rsidR="007425E7" w:rsidRDefault="007425E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4991C704" w14:textId="77777777" w:rsidR="007425E7" w:rsidRDefault="007425E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88CCACD" w14:textId="77777777" w:rsidR="007425E7" w:rsidRDefault="007425E7">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4C4D1F52" w14:textId="77777777" w:rsidR="007425E7" w:rsidRDefault="007425E7">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5E7"/>
    <w:rsid w:val="00454FD6"/>
    <w:rsid w:val="007425E7"/>
    <w:rsid w:val="0090686A"/>
    <w:rsid w:val="00A912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ECEA0"/>
  <w15:docId w15:val="{4D9B4308-5D13-4FC3-A5A6-0A8E0C43C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cs-CZ" w:eastAsia="cs-CZ"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pearmedia.cz"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etra@pearmedia.cz"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zlaterezervy.cz" TargetMode="External"/><Relationship Id="rId4" Type="http://schemas.openxmlformats.org/officeDocument/2006/relationships/footnotes" Target="footnotes.xml"/><Relationship Id="rId9" Type="http://schemas.openxmlformats.org/officeDocument/2006/relationships/hyperlink" Target="https://www.zlaterezervy.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702</Words>
  <Characters>4146</Characters>
  <Application>Microsoft Office Word</Application>
  <DocSecurity>0</DocSecurity>
  <Lines>34</Lines>
  <Paragraphs>9</Paragraphs>
  <ScaleCrop>false</ScaleCrop>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Petra Ďurčíková</cp:lastModifiedBy>
  <cp:revision>2</cp:revision>
  <dcterms:created xsi:type="dcterms:W3CDTF">2025-02-24T07:54:00Z</dcterms:created>
  <dcterms:modified xsi:type="dcterms:W3CDTF">2025-02-24T07:54:00Z</dcterms:modified>
</cp:coreProperties>
</file>